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D4AE" w14:textId="7AB3B8F6" w:rsidR="009925BB" w:rsidRPr="00047AD5" w:rsidRDefault="009925BB" w:rsidP="6075BB5C">
      <w:pPr>
        <w:rPr>
          <w:b/>
          <w:bCs/>
        </w:rPr>
      </w:pPr>
      <w:r w:rsidRPr="0DDE297D">
        <w:rPr>
          <w:b/>
          <w:bCs/>
        </w:rPr>
        <w:t>Kostengutsprache</w:t>
      </w:r>
      <w:r w:rsidR="4B2AA387" w:rsidRPr="0DDE297D">
        <w:rPr>
          <w:b/>
          <w:bCs/>
        </w:rPr>
        <w:t>-Gesuch für Tavneos 180</w:t>
      </w:r>
      <w:r w:rsidR="223841DC" w:rsidRPr="0DDE297D">
        <w:rPr>
          <w:b/>
          <w:bCs/>
        </w:rPr>
        <w:t xml:space="preserve"> Kapseln je </w:t>
      </w:r>
      <w:r w:rsidR="4B2AA387" w:rsidRPr="0DDE297D">
        <w:rPr>
          <w:b/>
          <w:bCs/>
        </w:rPr>
        <w:t xml:space="preserve">10mg </w:t>
      </w:r>
    </w:p>
    <w:p w14:paraId="14D70152" w14:textId="77777777" w:rsidR="00F04A24" w:rsidRDefault="00F04A24" w:rsidP="6075BB5C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29A3807F" w14:textId="233DB3B3" w:rsidR="00AC3DD1" w:rsidRPr="00523BDF" w:rsidRDefault="00AC3DD1" w:rsidP="5C30674B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5C30674B">
        <w:rPr>
          <w:rFonts w:eastAsiaTheme="minorEastAsia"/>
          <w:sz w:val="22"/>
          <w:szCs w:val="22"/>
        </w:rPr>
        <w:t>Sehr geehrte Dame</w:t>
      </w:r>
      <w:r w:rsidR="656CBC88" w:rsidRPr="5C30674B">
        <w:rPr>
          <w:rFonts w:eastAsiaTheme="minorEastAsia"/>
          <w:sz w:val="22"/>
          <w:szCs w:val="22"/>
        </w:rPr>
        <w:t xml:space="preserve"> </w:t>
      </w:r>
      <w:r w:rsidR="324D9700" w:rsidRPr="5C30674B">
        <w:rPr>
          <w:rFonts w:eastAsiaTheme="minorEastAsia"/>
          <w:sz w:val="22"/>
          <w:szCs w:val="22"/>
        </w:rPr>
        <w:t>und</w:t>
      </w:r>
      <w:r w:rsidR="656CBC88" w:rsidRPr="5C30674B">
        <w:rPr>
          <w:rFonts w:eastAsiaTheme="minorEastAsia"/>
          <w:sz w:val="22"/>
          <w:szCs w:val="22"/>
        </w:rPr>
        <w:t xml:space="preserve"> </w:t>
      </w:r>
      <w:r w:rsidRPr="5C30674B">
        <w:rPr>
          <w:rFonts w:eastAsiaTheme="minorEastAsia"/>
          <w:sz w:val="22"/>
          <w:szCs w:val="22"/>
        </w:rPr>
        <w:t>Herre</w:t>
      </w:r>
      <w:r w:rsidR="479E0CA5" w:rsidRPr="5C30674B">
        <w:rPr>
          <w:rFonts w:eastAsiaTheme="minorEastAsia"/>
          <w:sz w:val="22"/>
          <w:szCs w:val="22"/>
        </w:rPr>
        <w:t>n</w:t>
      </w:r>
    </w:p>
    <w:p w14:paraId="17041165" w14:textId="2DA3B0ED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00523BDF">
        <w:rPr>
          <w:rFonts w:eastAsiaTheme="minorEastAsia"/>
          <w:sz w:val="22"/>
          <w:szCs w:val="22"/>
        </w:rPr>
        <w:t> </w:t>
      </w:r>
    </w:p>
    <w:p w14:paraId="013169C6" w14:textId="77777777" w:rsidR="00F04A24" w:rsidRPr="00523BDF" w:rsidRDefault="00F04A24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58E6F156" w14:textId="25ED38BE" w:rsidR="00AC3DD1" w:rsidRPr="00523BDF" w:rsidRDefault="34EC0292" w:rsidP="5C30674B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5C30674B">
        <w:rPr>
          <w:rFonts w:eastAsiaTheme="minorEastAsia"/>
          <w:sz w:val="22"/>
          <w:szCs w:val="22"/>
        </w:rPr>
        <w:t>I</w:t>
      </w:r>
      <w:r w:rsidR="00AC3DD1" w:rsidRPr="5C30674B">
        <w:rPr>
          <w:rFonts w:eastAsiaTheme="minorEastAsia"/>
          <w:sz w:val="22"/>
          <w:szCs w:val="22"/>
        </w:rPr>
        <w:t xml:space="preserve">ch </w:t>
      </w:r>
      <w:r w:rsidR="00334193" w:rsidRPr="5C30674B">
        <w:rPr>
          <w:rFonts w:eastAsiaTheme="minorEastAsia"/>
          <w:sz w:val="22"/>
          <w:szCs w:val="22"/>
        </w:rPr>
        <w:t>ersuche</w:t>
      </w:r>
      <w:r w:rsidR="00AC3DD1" w:rsidRPr="5C30674B">
        <w:rPr>
          <w:rFonts w:eastAsiaTheme="minorEastAsia"/>
          <w:sz w:val="22"/>
          <w:szCs w:val="22"/>
        </w:rPr>
        <w:t xml:space="preserve"> Sie </w:t>
      </w:r>
      <w:r w:rsidR="2A78381E" w:rsidRPr="5C30674B">
        <w:rPr>
          <w:rFonts w:eastAsiaTheme="minorEastAsia"/>
          <w:sz w:val="22"/>
          <w:szCs w:val="22"/>
        </w:rPr>
        <w:t xml:space="preserve">hiermit </w:t>
      </w:r>
      <w:r w:rsidR="00AC3DD1" w:rsidRPr="5C30674B">
        <w:rPr>
          <w:rFonts w:eastAsiaTheme="minorEastAsia"/>
          <w:sz w:val="22"/>
          <w:szCs w:val="22"/>
        </w:rPr>
        <w:t>um</w:t>
      </w:r>
      <w:r w:rsidR="00334193" w:rsidRPr="5C30674B">
        <w:rPr>
          <w:rFonts w:eastAsiaTheme="minorEastAsia"/>
          <w:sz w:val="22"/>
          <w:szCs w:val="22"/>
        </w:rPr>
        <w:t xml:space="preserve"> </w:t>
      </w:r>
      <w:r w:rsidR="006C45ED">
        <w:rPr>
          <w:rFonts w:eastAsiaTheme="minorEastAsia"/>
          <w:sz w:val="22"/>
          <w:szCs w:val="22"/>
        </w:rPr>
        <w:t>Gutheissung der Kostengutspra</w:t>
      </w:r>
      <w:r w:rsidR="003A440A">
        <w:rPr>
          <w:rFonts w:eastAsiaTheme="minorEastAsia"/>
          <w:sz w:val="22"/>
          <w:szCs w:val="22"/>
        </w:rPr>
        <w:t>c</w:t>
      </w:r>
      <w:r w:rsidR="006C45ED">
        <w:rPr>
          <w:rFonts w:eastAsiaTheme="minorEastAsia"/>
          <w:sz w:val="22"/>
          <w:szCs w:val="22"/>
        </w:rPr>
        <w:t>he</w:t>
      </w:r>
      <w:r w:rsidR="00AC3DD1" w:rsidRPr="5C30674B">
        <w:rPr>
          <w:rFonts w:eastAsiaTheme="minorEastAsia"/>
          <w:sz w:val="22"/>
          <w:szCs w:val="22"/>
        </w:rPr>
        <w:t xml:space="preserve"> für das Medikament Tavneos (Avacopan) für </w:t>
      </w:r>
      <w:r w:rsidR="00523BDF" w:rsidRPr="5C30674B">
        <w:rPr>
          <w:rFonts w:eastAsiaTheme="minorEastAsia"/>
          <w:sz w:val="22"/>
          <w:szCs w:val="22"/>
          <w:highlight w:val="cyan"/>
        </w:rPr>
        <w:t xml:space="preserve">NAME </w:t>
      </w:r>
      <w:r w:rsidR="00AC3DD1" w:rsidRPr="5C30674B">
        <w:rPr>
          <w:rFonts w:eastAsiaTheme="minorEastAsia"/>
          <w:sz w:val="22"/>
          <w:szCs w:val="22"/>
          <w:highlight w:val="cyan"/>
        </w:rPr>
        <w:t>Patient*</w:t>
      </w:r>
      <w:r w:rsidR="305A9C60" w:rsidRPr="5C30674B">
        <w:rPr>
          <w:rFonts w:eastAsiaTheme="minorEastAsia"/>
          <w:sz w:val="22"/>
          <w:szCs w:val="22"/>
          <w:highlight w:val="cyan"/>
        </w:rPr>
        <w:t>, Jahrgang, Versichertennummer</w:t>
      </w:r>
      <w:r w:rsidR="006C45ED">
        <w:rPr>
          <w:rFonts w:eastAsiaTheme="minorEastAsia"/>
          <w:sz w:val="22"/>
          <w:szCs w:val="22"/>
        </w:rPr>
        <w:t>.</w:t>
      </w:r>
    </w:p>
    <w:p w14:paraId="650AB305" w14:textId="0F1281B5" w:rsidR="00AC3DD1" w:rsidRDefault="6CC64DB8" w:rsidP="6075BB5C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6075BB5C">
        <w:rPr>
          <w:rFonts w:eastAsiaTheme="minorEastAsia"/>
          <w:sz w:val="22"/>
          <w:szCs w:val="22"/>
        </w:rPr>
        <w:t>Wie Sie nachfolgend sehen, sind d</w:t>
      </w:r>
      <w:r w:rsidR="0067714A" w:rsidRPr="6075BB5C">
        <w:rPr>
          <w:rFonts w:eastAsiaTheme="minorEastAsia"/>
          <w:sz w:val="22"/>
          <w:szCs w:val="22"/>
        </w:rPr>
        <w:t xml:space="preserve">ie Voraussetzungen für eine Kostenübernahme </w:t>
      </w:r>
      <w:r w:rsidR="00E62DAA" w:rsidRPr="6075BB5C">
        <w:rPr>
          <w:rFonts w:eastAsiaTheme="minorEastAsia"/>
          <w:sz w:val="22"/>
          <w:szCs w:val="22"/>
        </w:rPr>
        <w:t>nach Artikel 71a-c</w:t>
      </w:r>
      <w:r w:rsidR="001E2B64">
        <w:rPr>
          <w:rFonts w:eastAsiaTheme="minorEastAsia"/>
          <w:sz w:val="22"/>
          <w:szCs w:val="22"/>
        </w:rPr>
        <w:t xml:space="preserve"> </w:t>
      </w:r>
      <w:r w:rsidR="00F6664D">
        <w:rPr>
          <w:rFonts w:eastAsiaTheme="minorEastAsia"/>
          <w:sz w:val="22"/>
          <w:szCs w:val="22"/>
        </w:rPr>
        <w:t>K</w:t>
      </w:r>
      <w:r w:rsidR="00E62DAA" w:rsidRPr="6075BB5C">
        <w:rPr>
          <w:rFonts w:eastAsiaTheme="minorEastAsia"/>
          <w:sz w:val="22"/>
          <w:szCs w:val="22"/>
        </w:rPr>
        <w:t>VV beim genannten Patient</w:t>
      </w:r>
      <w:r w:rsidR="00D26A3D">
        <w:rPr>
          <w:rFonts w:eastAsiaTheme="minorEastAsia"/>
          <w:sz w:val="22"/>
          <w:szCs w:val="22"/>
        </w:rPr>
        <w:t>en</w:t>
      </w:r>
      <w:r w:rsidR="00E62DAA" w:rsidRPr="6075BB5C">
        <w:rPr>
          <w:rFonts w:eastAsiaTheme="minorEastAsia"/>
          <w:sz w:val="22"/>
          <w:szCs w:val="22"/>
        </w:rPr>
        <w:t xml:space="preserve"> </w:t>
      </w:r>
      <w:r w:rsidR="00F24478" w:rsidRPr="6075BB5C">
        <w:rPr>
          <w:rFonts w:eastAsiaTheme="minorEastAsia"/>
          <w:sz w:val="22"/>
          <w:szCs w:val="22"/>
        </w:rPr>
        <w:t xml:space="preserve">eindeutig erfüllt. </w:t>
      </w:r>
    </w:p>
    <w:p w14:paraId="05F3CF8F" w14:textId="77777777" w:rsidR="00F04A24" w:rsidRPr="00523BDF" w:rsidRDefault="00F04A24" w:rsidP="6075BB5C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541CE9F6" w14:textId="7448614D" w:rsidR="00AC3DD1" w:rsidRDefault="00AC3DD1" w:rsidP="00AC3DD1">
      <w:pPr>
        <w:pStyle w:val="xmsonormal"/>
        <w:spacing w:line="260" w:lineRule="atLeast"/>
        <w:rPr>
          <w:rFonts w:eastAsiaTheme="minorEastAsia"/>
          <w:color w:val="4472C4"/>
          <w:sz w:val="22"/>
          <w:szCs w:val="22"/>
        </w:rPr>
      </w:pPr>
    </w:p>
    <w:tbl>
      <w:tblPr>
        <w:tblStyle w:val="TableGrid"/>
        <w:tblW w:w="9065" w:type="dxa"/>
        <w:tblLayout w:type="fixed"/>
        <w:tblLook w:val="04A0" w:firstRow="1" w:lastRow="0" w:firstColumn="1" w:lastColumn="0" w:noHBand="0" w:noVBand="1"/>
      </w:tblPr>
      <w:tblGrid>
        <w:gridCol w:w="2074"/>
        <w:gridCol w:w="3902"/>
        <w:gridCol w:w="3089"/>
      </w:tblGrid>
      <w:tr w:rsidR="0007200C" w14:paraId="5C49CACE" w14:textId="77777777" w:rsidTr="00C82A57">
        <w:trPr>
          <w:trHeight w:val="269"/>
        </w:trPr>
        <w:tc>
          <w:tcPr>
            <w:tcW w:w="2074" w:type="dxa"/>
          </w:tcPr>
          <w:p w14:paraId="6BDA4524" w14:textId="77777777" w:rsidR="0007200C" w:rsidRDefault="0007200C" w:rsidP="00AC3DD1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977AAB">
              <w:rPr>
                <w:rFonts w:eastAsiaTheme="minorEastAsia"/>
                <w:b/>
                <w:bCs/>
                <w:sz w:val="22"/>
                <w:szCs w:val="22"/>
              </w:rPr>
              <w:t>Bedingung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14:paraId="1A2FEE0C" w14:textId="04C74622" w:rsidR="0007200C" w:rsidRPr="00977AAB" w:rsidRDefault="0007200C" w:rsidP="00AC3DD1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Art. 71a-d KVV</w:t>
            </w:r>
          </w:p>
        </w:tc>
        <w:tc>
          <w:tcPr>
            <w:tcW w:w="6991" w:type="dxa"/>
            <w:gridSpan w:val="2"/>
          </w:tcPr>
          <w:p w14:paraId="1C942E0B" w14:textId="7D926C19" w:rsidR="0007200C" w:rsidRPr="00977AAB" w:rsidRDefault="0007200C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  <w:bookmarkStart w:id="0" w:name="OLE_LINK6"/>
            <w:r w:rsidRPr="00977AAB">
              <w:rPr>
                <w:rFonts w:eastAsiaTheme="minorEastAsia"/>
                <w:b/>
                <w:bCs/>
                <w:sz w:val="22"/>
                <w:szCs w:val="22"/>
              </w:rPr>
              <w:t xml:space="preserve">Erfordernis </w:t>
            </w:r>
            <w:bookmarkEnd w:id="0"/>
          </w:p>
        </w:tc>
      </w:tr>
      <w:tr w:rsidR="0007200C" w14:paraId="562A202A" w14:textId="77777777" w:rsidTr="00C82A57">
        <w:trPr>
          <w:trHeight w:val="664"/>
        </w:trPr>
        <w:tc>
          <w:tcPr>
            <w:tcW w:w="2074" w:type="dxa"/>
          </w:tcPr>
          <w:p w14:paraId="4734A04A" w14:textId="30B97276" w:rsidR="0007200C" w:rsidRPr="00C03835" w:rsidRDefault="0007200C" w:rsidP="0F963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F963C2B">
              <w:rPr>
                <w:rFonts w:eastAsiaTheme="minorEastAsia"/>
                <w:b/>
                <w:bCs/>
                <w:sz w:val="22"/>
                <w:szCs w:val="22"/>
              </w:rPr>
              <w:t>Swissmedic Zulassung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: </w:t>
            </w:r>
            <w:r w:rsidRPr="0F963C2B">
              <w:rPr>
                <w:rFonts w:eastAsiaTheme="minorEastAsia"/>
                <w:b/>
                <w:bCs/>
                <w:sz w:val="22"/>
                <w:szCs w:val="22"/>
              </w:rPr>
              <w:t>19.9.2022</w:t>
            </w:r>
          </w:p>
        </w:tc>
        <w:tc>
          <w:tcPr>
            <w:tcW w:w="6991" w:type="dxa"/>
            <w:gridSpan w:val="2"/>
          </w:tcPr>
          <w:p w14:paraId="2547FFB9" w14:textId="0278F28C" w:rsidR="0007200C" w:rsidRPr="00977AAB" w:rsidRDefault="0007200C" w:rsidP="00AC3DD1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I</w:t>
            </w:r>
            <w:r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</w:rPr>
              <w:t xml:space="preserve">ndikation: </w:t>
            </w:r>
            <w:r w:rsidRPr="00C0383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Tavneos, als ergänzende Therapie zu einer immunsuppressiven Standardbehandlung auf Basis von Rituximab oder Cyclophosphamid mit Glukokortikoiden, ist für die Behandlung erwachsener Patienten mit schwerer aktiver anti-neutrophile cytoplasmatische Autoantikörper (ANCA)-assoziierter Vaskulitis (Granulomatose mit Polyangiitis (GPA) und mikroskopische Polyangiitis (MPA)) indiziert.</w:t>
            </w:r>
          </w:p>
        </w:tc>
      </w:tr>
      <w:tr w:rsidR="00172DCD" w14:paraId="50C078DF" w14:textId="77777777" w:rsidTr="00C82A57">
        <w:trPr>
          <w:trHeight w:val="134"/>
        </w:trPr>
        <w:tc>
          <w:tcPr>
            <w:tcW w:w="2074" w:type="dxa"/>
          </w:tcPr>
          <w:p w14:paraId="0908B022" w14:textId="77777777" w:rsidR="00172DCD" w:rsidRPr="0F963C2B" w:rsidRDefault="00172DCD" w:rsidP="0F963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</w:tcPr>
          <w:p w14:paraId="2D59BB74" w14:textId="7422196A" w:rsidR="00172DCD" w:rsidRDefault="00D412A2" w:rsidP="00AC3DD1">
            <w:pPr>
              <w:pStyle w:val="xmsonormal"/>
              <w:spacing w:line="260" w:lineRule="atLeast"/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Erfordernis</w:t>
            </w:r>
          </w:p>
        </w:tc>
        <w:tc>
          <w:tcPr>
            <w:tcW w:w="3089" w:type="dxa"/>
          </w:tcPr>
          <w:p w14:paraId="66792655" w14:textId="58687059" w:rsidR="00172DCD" w:rsidRPr="00977AAB" w:rsidRDefault="0007200C" w:rsidP="00AC3DD1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sz w:val="22"/>
                <w:szCs w:val="22"/>
              </w:rPr>
            </w:pPr>
            <w:commentRangeStart w:id="1"/>
            <w:r>
              <w:rPr>
                <w:b/>
                <w:bCs/>
                <w:color w:val="4472C4"/>
              </w:rPr>
              <w:t>Patientenfall</w:t>
            </w:r>
            <w:commentRangeEnd w:id="1"/>
            <w:r w:rsidR="00C96349">
              <w:rPr>
                <w:rStyle w:val="CommentReference"/>
                <w:rFonts w:asciiTheme="minorHAnsi" w:eastAsiaTheme="minorEastAsia" w:hAnsiTheme="minorHAnsi" w:cstheme="minorBidi"/>
              </w:rPr>
              <w:commentReference w:id="1"/>
            </w:r>
          </w:p>
        </w:tc>
      </w:tr>
      <w:tr w:rsidR="002411DC" w14:paraId="40CD57FA" w14:textId="77777777" w:rsidTr="00C82A57">
        <w:trPr>
          <w:trHeight w:val="530"/>
        </w:trPr>
        <w:tc>
          <w:tcPr>
            <w:tcW w:w="2074" w:type="dxa"/>
          </w:tcPr>
          <w:p w14:paraId="0D982F50" w14:textId="76E9F9C9" w:rsidR="00DB5A47" w:rsidRPr="000C63B1" w:rsidRDefault="00E43EF1" w:rsidP="00AC3DD1">
            <w:pPr>
              <w:pStyle w:val="xmsonormal"/>
              <w:spacing w:line="260" w:lineRule="atLeast"/>
              <w:rPr>
                <w:rFonts w:eastAsiaTheme="minorEastAsia"/>
                <w:b/>
                <w:lang w:val="en-US"/>
              </w:rPr>
            </w:pPr>
            <w:r w:rsidRPr="000C63B1">
              <w:rPr>
                <w:rFonts w:eastAsiaTheme="minorEastAsia"/>
                <w:b/>
              </w:rPr>
              <w:t>Tödlich / schwer und chronisch</w:t>
            </w:r>
          </w:p>
        </w:tc>
        <w:tc>
          <w:tcPr>
            <w:tcW w:w="3902" w:type="dxa"/>
          </w:tcPr>
          <w:p w14:paraId="225BC257" w14:textId="7E4A5C0F" w:rsidR="00DB5A47" w:rsidRPr="0071353B" w:rsidDel="002E3004" w:rsidRDefault="00E43EF1" w:rsidP="0F963C2B">
            <w:pPr>
              <w:pStyle w:val="xmsonormal"/>
              <w:spacing w:line="260" w:lineRule="atLeast"/>
              <w:rPr>
                <w:rFonts w:eastAsiaTheme="minorEastAsia"/>
              </w:rPr>
            </w:pPr>
            <w:r w:rsidRPr="0F963C2B">
              <w:rPr>
                <w:rFonts w:eastAsiaTheme="minorEastAsia"/>
              </w:rPr>
              <w:t xml:space="preserve">Anca-assoziierte Vaskulitis ist eine systemische </w:t>
            </w:r>
            <w:r w:rsidR="00B92840" w:rsidRPr="0F963C2B">
              <w:rPr>
                <w:rFonts w:eastAsiaTheme="minorEastAsia"/>
              </w:rPr>
              <w:t xml:space="preserve">und chronische </w:t>
            </w:r>
            <w:r w:rsidRPr="0F963C2B">
              <w:rPr>
                <w:rFonts w:eastAsiaTheme="minorEastAsia"/>
              </w:rPr>
              <w:t>Erkrankung mit starker Organbeteiligung, die unbehandelt</w:t>
            </w:r>
            <w:r w:rsidR="3F238F35" w:rsidRPr="0F963C2B">
              <w:rPr>
                <w:rFonts w:eastAsiaTheme="minorEastAsia"/>
              </w:rPr>
              <w:t xml:space="preserve"> innert eine</w:t>
            </w:r>
            <w:r w:rsidR="00FC38AF">
              <w:rPr>
                <w:rFonts w:eastAsiaTheme="minorEastAsia"/>
              </w:rPr>
              <w:t>m</w:t>
            </w:r>
            <w:r w:rsidR="3F238F35" w:rsidRPr="0F963C2B">
              <w:rPr>
                <w:rFonts w:eastAsiaTheme="minorEastAsia"/>
              </w:rPr>
              <w:t xml:space="preserve"> Jahr zum Tod führen kann</w:t>
            </w:r>
            <w:r w:rsidRPr="0F963C2B">
              <w:rPr>
                <w:rFonts w:eastAsiaTheme="minorEastAsia"/>
              </w:rPr>
              <w:t>.</w:t>
            </w:r>
          </w:p>
        </w:tc>
        <w:sdt>
          <w:sdtPr>
            <w:rPr>
              <w:rFonts w:eastAsiaTheme="minorEastAsia"/>
              <w:color w:val="4472C4"/>
            </w:rPr>
            <w:id w:val="16600399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89" w:type="dxa"/>
              </w:tcPr>
              <w:p w14:paraId="353B58E0" w14:textId="698D4F7F" w:rsidR="00DB5A47" w:rsidRPr="00977AAB" w:rsidRDefault="00D26A3D" w:rsidP="00E43EF1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</w:rPr>
                </w:pPr>
                <w:r w:rsidRPr="001426B1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tc>
          </w:sdtContent>
        </w:sdt>
      </w:tr>
      <w:tr w:rsidR="002411DC" w:rsidRPr="00426D58" w14:paraId="0BC32295" w14:textId="77777777" w:rsidTr="00C82A57">
        <w:trPr>
          <w:trHeight w:val="2003"/>
        </w:trPr>
        <w:tc>
          <w:tcPr>
            <w:tcW w:w="2074" w:type="dxa"/>
          </w:tcPr>
          <w:p w14:paraId="7D4FB69B" w14:textId="5B69D0D2" w:rsidR="00E43EF1" w:rsidRPr="00BF1384" w:rsidRDefault="00240E2D" w:rsidP="00E43EF1">
            <w:pPr>
              <w:pStyle w:val="xmsonormal"/>
              <w:spacing w:line="260" w:lineRule="atLeast"/>
              <w:rPr>
                <w:b/>
                <w:bCs/>
              </w:rPr>
            </w:pPr>
            <w:commentRangeStart w:id="2"/>
            <w:r>
              <w:rPr>
                <w:rFonts w:eastAsiaTheme="minorEastAsia"/>
                <w:b/>
                <w:bCs/>
              </w:rPr>
              <w:t xml:space="preserve">Bisherige </w:t>
            </w:r>
            <w:commentRangeEnd w:id="2"/>
            <w:r w:rsidR="00C96349">
              <w:rPr>
                <w:rStyle w:val="CommentReference"/>
                <w:rFonts w:asciiTheme="minorHAnsi" w:eastAsiaTheme="minorEastAsia" w:hAnsiTheme="minorHAnsi" w:cstheme="minorBidi"/>
              </w:rPr>
              <w:commentReference w:id="2"/>
            </w:r>
            <w:r>
              <w:rPr>
                <w:rFonts w:eastAsiaTheme="minorEastAsia"/>
                <w:b/>
                <w:bCs/>
              </w:rPr>
              <w:t>Therapien / Behandlungshistorie</w:t>
            </w:r>
          </w:p>
          <w:p w14:paraId="147085F9" w14:textId="68F8E9B8" w:rsidR="00977AAB" w:rsidRPr="00977AAB" w:rsidRDefault="00E43EF1" w:rsidP="00AC3DD1">
            <w:pPr>
              <w:pStyle w:val="xmsonormal"/>
              <w:spacing w:line="260" w:lineRule="atLeast"/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6991" w:type="dxa"/>
            <w:gridSpan w:val="2"/>
          </w:tcPr>
          <w:sdt>
            <w:sdtPr>
              <w:rPr>
                <w:rFonts w:eastAsiaTheme="minorEastAsia"/>
                <w:color w:val="4472C4"/>
              </w:rPr>
              <w:id w:val="-1529096412"/>
              <w:placeholder>
                <w:docPart w:val="DefaultPlaceholder_-1854013440"/>
              </w:placeholder>
              <w:showingPlcHdr/>
              <w:text/>
            </w:sdtPr>
            <w:sdtContent>
              <w:p w14:paraId="6A211C75" w14:textId="74D5F6D8" w:rsidR="00977AAB" w:rsidRPr="00977AAB" w:rsidRDefault="001426B1" w:rsidP="00AC3DD1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</w:rPr>
                </w:pPr>
                <w:r w:rsidRPr="001426B1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sdtContent>
          </w:sdt>
          <w:p w14:paraId="1613D6B2" w14:textId="12201933" w:rsidR="00B926CC" w:rsidRPr="002A7C35" w:rsidRDefault="00B926CC" w:rsidP="00977AAB">
            <w:pPr>
              <w:pStyle w:val="xmsonormal"/>
              <w:spacing w:line="260" w:lineRule="atLeast"/>
              <w:ind w:left="708"/>
              <w:rPr>
                <w:rFonts w:eastAsiaTheme="minorEastAsia"/>
                <w:b/>
                <w:bCs/>
                <w:color w:val="4472C4"/>
              </w:rPr>
            </w:pPr>
          </w:p>
          <w:p w14:paraId="1D493EEF" w14:textId="77777777" w:rsidR="00B926CC" w:rsidRDefault="00B926CC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26FCB080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2FD8C393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379293C0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2D9DD356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0857493C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20389B42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098F36F4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522AACE6" w14:textId="77777777" w:rsidR="00F04A24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</w:rPr>
            </w:pPr>
          </w:p>
          <w:p w14:paraId="3FC0AC51" w14:textId="3B2C498E" w:rsidR="00B926CC" w:rsidRDefault="00B926CC" w:rsidP="00B926CC">
            <w:pPr>
              <w:pStyle w:val="xmsonormal"/>
              <w:spacing w:line="260" w:lineRule="atLeast"/>
              <w:ind w:left="720"/>
              <w:rPr>
                <w:rFonts w:eastAsiaTheme="minorEastAsia"/>
                <w:color w:val="4472C4"/>
              </w:rPr>
            </w:pPr>
          </w:p>
          <w:p w14:paraId="518444FC" w14:textId="25E06770" w:rsidR="00D36A41" w:rsidRDefault="00D36A41" w:rsidP="00B926CC">
            <w:pPr>
              <w:pStyle w:val="xmsonormal"/>
              <w:spacing w:line="260" w:lineRule="atLeast"/>
              <w:ind w:left="720"/>
              <w:rPr>
                <w:rFonts w:eastAsiaTheme="minorEastAsia"/>
                <w:color w:val="4472C4"/>
              </w:rPr>
            </w:pPr>
          </w:p>
          <w:p w14:paraId="6FAD1ADF" w14:textId="77777777" w:rsidR="002530F1" w:rsidRDefault="002530F1" w:rsidP="00B926CC">
            <w:pPr>
              <w:pStyle w:val="xmsonormal"/>
              <w:spacing w:line="260" w:lineRule="atLeast"/>
              <w:ind w:left="720"/>
              <w:rPr>
                <w:rFonts w:eastAsiaTheme="minorEastAsia"/>
                <w:color w:val="4472C4"/>
              </w:rPr>
            </w:pPr>
          </w:p>
          <w:p w14:paraId="441A7231" w14:textId="4AEBECCD" w:rsidR="00553447" w:rsidRPr="00426D58" w:rsidRDefault="00553447" w:rsidP="00323B21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</w:p>
        </w:tc>
      </w:tr>
      <w:tr w:rsidR="002411DC" w:rsidRPr="00DA7ABC" w14:paraId="6935B490" w14:textId="77777777" w:rsidTr="00C82A57">
        <w:trPr>
          <w:trHeight w:val="1887"/>
        </w:trPr>
        <w:tc>
          <w:tcPr>
            <w:tcW w:w="2074" w:type="dxa"/>
          </w:tcPr>
          <w:p w14:paraId="58125BD6" w14:textId="4625C2EB" w:rsidR="00AA70A8" w:rsidRPr="00F70228" w:rsidRDefault="00444D88" w:rsidP="00AC3DD1">
            <w:pPr>
              <w:pStyle w:val="xmsonormal"/>
              <w:spacing w:line="260" w:lineRule="atLeast"/>
              <w:rPr>
                <w:b/>
              </w:rPr>
            </w:pPr>
            <w:commentRangeStart w:id="3"/>
            <w:r w:rsidRPr="00F70228">
              <w:rPr>
                <w:rFonts w:eastAsiaTheme="minorEastAsia"/>
                <w:b/>
              </w:rPr>
              <w:t xml:space="preserve">Grosser </w:t>
            </w:r>
            <w:commentRangeEnd w:id="3"/>
            <w:r w:rsidR="00C96349">
              <w:rPr>
                <w:rStyle w:val="CommentReference"/>
                <w:rFonts w:asciiTheme="minorHAnsi" w:eastAsiaTheme="minorEastAsia" w:hAnsiTheme="minorHAnsi" w:cstheme="minorBidi"/>
              </w:rPr>
              <w:commentReference w:id="3"/>
            </w:r>
            <w:r w:rsidRPr="00F70228">
              <w:rPr>
                <w:rFonts w:eastAsiaTheme="minorEastAsia"/>
                <w:b/>
              </w:rPr>
              <w:t>therapeutischer Nutzen der n</w:t>
            </w:r>
            <w:r w:rsidR="00AA70A8" w:rsidRPr="00F70228">
              <w:rPr>
                <w:rFonts w:eastAsiaTheme="minorEastAsia"/>
                <w:b/>
              </w:rPr>
              <w:t>eue</w:t>
            </w:r>
            <w:r w:rsidRPr="00F70228">
              <w:rPr>
                <w:rFonts w:eastAsiaTheme="minorEastAsia"/>
                <w:b/>
              </w:rPr>
              <w:t>n</w:t>
            </w:r>
            <w:r w:rsidR="00AA70A8" w:rsidRPr="00F70228">
              <w:rPr>
                <w:rFonts w:eastAsiaTheme="minorEastAsia"/>
                <w:b/>
              </w:rPr>
              <w:t xml:space="preserve"> </w:t>
            </w:r>
            <w:r w:rsidRPr="00F70228">
              <w:rPr>
                <w:rFonts w:eastAsiaTheme="minorEastAsia"/>
                <w:b/>
              </w:rPr>
              <w:t>Therapie</w:t>
            </w:r>
            <w:r w:rsidR="00AA70A8" w:rsidRPr="00F70228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6991" w:type="dxa"/>
            <w:gridSpan w:val="2"/>
          </w:tcPr>
          <w:p w14:paraId="383E3E00" w14:textId="260A1178" w:rsidR="00E72DA9" w:rsidRDefault="00444D88" w:rsidP="00AA70A8">
            <w:pPr>
              <w:pStyle w:val="xmsonormal"/>
              <w:spacing w:line="260" w:lineRule="atLeast"/>
              <w:rPr>
                <w:rFonts w:eastAsiaTheme="minorEastAsia"/>
              </w:rPr>
            </w:pPr>
            <w:r w:rsidRPr="00A06CF4">
              <w:rPr>
                <w:rFonts w:eastAsiaTheme="minorEastAsia"/>
              </w:rPr>
              <w:t xml:space="preserve">Es ist </w:t>
            </w:r>
            <w:r w:rsidR="00FD7108">
              <w:rPr>
                <w:rFonts w:eastAsiaTheme="minorEastAsia"/>
              </w:rPr>
              <w:t>bereits in kurzer Zeit ein</w:t>
            </w:r>
            <w:r w:rsidRPr="00A06CF4">
              <w:rPr>
                <w:rFonts w:eastAsiaTheme="minorEastAsia"/>
              </w:rPr>
              <w:t xml:space="preserve"> grosser therapeutischer Nutzen durch </w:t>
            </w:r>
            <w:r w:rsidR="00E014E2">
              <w:rPr>
                <w:rFonts w:eastAsiaTheme="minorEastAsia"/>
              </w:rPr>
              <w:t>die</w:t>
            </w:r>
            <w:r w:rsidRPr="00A06CF4">
              <w:rPr>
                <w:rFonts w:eastAsiaTheme="minorEastAsia"/>
              </w:rPr>
              <w:t xml:space="preserve"> Therapie mit Tavneos</w:t>
            </w:r>
            <w:r w:rsidR="00E014E2">
              <w:rPr>
                <w:rFonts w:eastAsiaTheme="minorEastAsia"/>
              </w:rPr>
              <w:t xml:space="preserve"> erreicht worden</w:t>
            </w:r>
            <w:r w:rsidRPr="00A06CF4">
              <w:rPr>
                <w:rFonts w:eastAsiaTheme="minorEastAsia"/>
              </w:rPr>
              <w:t xml:space="preserve"> </w:t>
            </w:r>
            <w:r w:rsidR="00E014E2">
              <w:rPr>
                <w:rFonts w:eastAsiaTheme="minorEastAsia"/>
              </w:rPr>
              <w:t xml:space="preserve">und weitere Besserung bei anhaltender Therapie zu erwarten. </w:t>
            </w:r>
          </w:p>
          <w:p w14:paraId="27BBED8E" w14:textId="77777777" w:rsidR="00E014E2" w:rsidRPr="00A06CF4" w:rsidRDefault="00E014E2" w:rsidP="00AA70A8">
            <w:pPr>
              <w:pStyle w:val="xmsonormal"/>
              <w:spacing w:line="260" w:lineRule="atLeast"/>
              <w:rPr>
                <w:rFonts w:eastAsiaTheme="minorEastAsia"/>
              </w:rPr>
            </w:pPr>
          </w:p>
          <w:sdt>
            <w:sdtPr>
              <w:rPr>
                <w:rFonts w:eastAsiaTheme="minorEastAsia"/>
                <w:b/>
                <w:bCs/>
                <w:color w:val="4472C4"/>
              </w:rPr>
              <w:id w:val="-1317564544"/>
              <w:placeholder>
                <w:docPart w:val="DefaultPlaceholder_-1854013440"/>
              </w:placeholder>
              <w:showingPlcHdr/>
              <w:text/>
            </w:sdtPr>
            <w:sdtContent>
              <w:p w14:paraId="2BA4718C" w14:textId="466D4C8F" w:rsidR="00AA70A8" w:rsidRDefault="001426B1" w:rsidP="001426B1">
                <w:pPr>
                  <w:pStyle w:val="xmsonormal"/>
                  <w:spacing w:line="260" w:lineRule="atLeast"/>
                  <w:rPr>
                    <w:rFonts w:eastAsiaTheme="minorEastAsia"/>
                    <w:b/>
                    <w:bCs/>
                    <w:color w:val="4472C4"/>
                  </w:rPr>
                </w:pPr>
                <w:r w:rsidRPr="00806FCB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sdtContent>
          </w:sdt>
          <w:p w14:paraId="20496706" w14:textId="3B02075A" w:rsidR="00AA70A8" w:rsidRPr="00B853E0" w:rsidRDefault="00AA70A8" w:rsidP="00AA70A8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</w:rPr>
            </w:pPr>
          </w:p>
          <w:p w14:paraId="20BA8C46" w14:textId="57E842C6" w:rsidR="00BF0D21" w:rsidRPr="00D26A3D" w:rsidRDefault="00BF0D21" w:rsidP="00553447">
            <w:pPr>
              <w:pStyle w:val="xmsonormal"/>
              <w:spacing w:line="260" w:lineRule="atLeast"/>
              <w:ind w:left="360"/>
              <w:rPr>
                <w:rFonts w:eastAsiaTheme="minorEastAsia"/>
                <w:b/>
                <w:bCs/>
                <w:color w:val="4472C4"/>
              </w:rPr>
            </w:pPr>
          </w:p>
          <w:p w14:paraId="5D71DB1A" w14:textId="33213D0E" w:rsidR="00AA70A8" w:rsidRPr="00D26A3D" w:rsidRDefault="00AA70A8" w:rsidP="00AA70A8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</w:rPr>
            </w:pPr>
          </w:p>
          <w:p w14:paraId="2880D032" w14:textId="77777777" w:rsidR="00AA70A8" w:rsidRDefault="00AA70A8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707E6E71" w14:textId="7DF26F20" w:rsidR="00475975" w:rsidRDefault="00475975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10FA9E4E" w14:textId="1D24C1ED" w:rsidR="00AA70A8" w:rsidRDefault="00AA70A8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38C45B8A" w14:textId="7DAB1F83" w:rsidR="00751C4C" w:rsidRPr="00553447" w:rsidRDefault="00751C4C" w:rsidP="00751C4C">
            <w:pPr>
              <w:pStyle w:val="xmsonormal"/>
              <w:spacing w:line="260" w:lineRule="atLeast"/>
              <w:rPr>
                <w:b/>
                <w:bCs/>
                <w:color w:val="4472C4"/>
              </w:rPr>
            </w:pPr>
          </w:p>
          <w:p w14:paraId="4F54002A" w14:textId="64972F96" w:rsidR="00AA70A8" w:rsidRDefault="00AA70A8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66A74B00" w14:textId="77777777" w:rsidR="002E1432" w:rsidRDefault="002E1432" w:rsidP="00DA7ABC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73C1B75F" w14:textId="77777777" w:rsidR="004F3EC3" w:rsidRDefault="004F3EC3" w:rsidP="005C2982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  <w:p w14:paraId="3CC9C4FE" w14:textId="23529225" w:rsidR="00047AD5" w:rsidRPr="00DA7ABC" w:rsidRDefault="00047AD5" w:rsidP="00323B2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</w:tc>
      </w:tr>
      <w:tr w:rsidR="002411DC" w:rsidRPr="00DA7ABC" w14:paraId="2ACABFA5" w14:textId="77777777" w:rsidTr="00C82A57">
        <w:trPr>
          <w:trHeight w:val="74"/>
        </w:trPr>
        <w:tc>
          <w:tcPr>
            <w:tcW w:w="2074" w:type="dxa"/>
          </w:tcPr>
          <w:p w14:paraId="570344D8" w14:textId="1649C67D" w:rsidR="00FE463F" w:rsidRPr="00F70228" w:rsidRDefault="00AB0957" w:rsidP="00AC3DD1">
            <w:pPr>
              <w:pStyle w:val="xmsonormal"/>
              <w:spacing w:line="260" w:lineRule="atLeast"/>
              <w:rPr>
                <w:rFonts w:eastAsiaTheme="minorEastAsia"/>
                <w:b/>
              </w:rPr>
            </w:pPr>
            <w:commentRangeStart w:id="4"/>
            <w:r w:rsidRPr="00F70228">
              <w:rPr>
                <w:rFonts w:eastAsiaTheme="minorEastAsia"/>
                <w:b/>
              </w:rPr>
              <w:lastRenderedPageBreak/>
              <w:t xml:space="preserve">Verfügbare </w:t>
            </w:r>
            <w:commentRangeEnd w:id="4"/>
            <w:r w:rsidR="00C96349">
              <w:rPr>
                <w:rStyle w:val="CommentReference"/>
                <w:rFonts w:asciiTheme="minorHAnsi" w:eastAsiaTheme="minorEastAsia" w:hAnsiTheme="minorHAnsi" w:cstheme="minorBidi"/>
              </w:rPr>
              <w:commentReference w:id="4"/>
            </w:r>
            <w:r w:rsidRPr="00F70228">
              <w:rPr>
                <w:rFonts w:eastAsiaTheme="minorEastAsia"/>
                <w:b/>
              </w:rPr>
              <w:t>Therapiealternativen sind nicht zumutbar</w:t>
            </w:r>
          </w:p>
        </w:tc>
        <w:tc>
          <w:tcPr>
            <w:tcW w:w="6991" w:type="dxa"/>
            <w:gridSpan w:val="2"/>
          </w:tcPr>
          <w:p w14:paraId="7DB9AE58" w14:textId="77777777" w:rsidR="00E658B9" w:rsidRPr="006E14E0" w:rsidRDefault="00C07941" w:rsidP="00E658B9">
            <w:pPr>
              <w:pStyle w:val="xmsonormal"/>
              <w:spacing w:line="260" w:lineRule="atLeast"/>
              <w:rPr>
                <w:rFonts w:eastAsiaTheme="minorEastAsia"/>
              </w:rPr>
            </w:pPr>
            <w:r w:rsidRPr="006E14E0">
              <w:rPr>
                <w:rFonts w:eastAsiaTheme="minorEastAsia"/>
              </w:rPr>
              <w:t>Die bestehenden</w:t>
            </w:r>
            <w:r w:rsidRPr="006E14E0">
              <w:rPr>
                <w:rFonts w:eastAsiaTheme="minorEastAsia"/>
                <w:sz w:val="18"/>
                <w:szCs w:val="18"/>
              </w:rPr>
              <w:t xml:space="preserve"> </w:t>
            </w:r>
            <w:r w:rsidRPr="006E14E0">
              <w:rPr>
                <w:rFonts w:eastAsiaTheme="minorEastAsia"/>
              </w:rPr>
              <w:t xml:space="preserve">und derzeit auf der Spezialitätenliste gelisteten Therapiealternativen </w:t>
            </w:r>
            <w:r w:rsidR="001C152E" w:rsidRPr="006E14E0">
              <w:rPr>
                <w:rFonts w:eastAsiaTheme="minorEastAsia"/>
              </w:rPr>
              <w:t>sind der Behandlung mit Tavneos</w:t>
            </w:r>
            <w:r w:rsidR="00A272BA" w:rsidRPr="006E14E0">
              <w:rPr>
                <w:rFonts w:eastAsiaTheme="minorEastAsia"/>
              </w:rPr>
              <w:t xml:space="preserve"> </w:t>
            </w:r>
            <w:r w:rsidR="00164F6D" w:rsidRPr="006E14E0">
              <w:rPr>
                <w:rFonts w:eastAsiaTheme="minorEastAsia"/>
              </w:rPr>
              <w:t>signifikant unterlegen.</w:t>
            </w:r>
            <w:r w:rsidR="00E658B9" w:rsidRPr="006E14E0">
              <w:rPr>
                <w:rFonts w:eastAsiaTheme="minorEastAsia"/>
              </w:rPr>
              <w:t xml:space="preserve"> </w:t>
            </w:r>
          </w:p>
          <w:p w14:paraId="12FB30AA" w14:textId="77777777" w:rsidR="00C36585" w:rsidRPr="00C36585" w:rsidRDefault="00E45DC2" w:rsidP="00C36585">
            <w:pPr>
              <w:pStyle w:val="xmsonormal"/>
              <w:spacing w:line="260" w:lineRule="atLeast"/>
              <w:rPr>
                <w:rFonts w:eastAsiaTheme="minorEastAsia"/>
                <w:lang w:val="en-US"/>
              </w:rPr>
            </w:pPr>
            <w:r w:rsidRPr="5FAF655F">
              <w:rPr>
                <w:rFonts w:eastAsiaTheme="minorEastAsia"/>
              </w:rPr>
              <w:t xml:space="preserve">Die Behandlung mit </w:t>
            </w:r>
            <w:r w:rsidR="00E658B9" w:rsidRPr="5FAF655F">
              <w:rPr>
                <w:rFonts w:eastAsiaTheme="minorEastAsia"/>
              </w:rPr>
              <w:t xml:space="preserve">Tavneos / Avacopan </w:t>
            </w:r>
            <w:r w:rsidRPr="5FAF655F">
              <w:rPr>
                <w:rFonts w:eastAsiaTheme="minorEastAsia"/>
              </w:rPr>
              <w:t xml:space="preserve">entspricht der neuen Europäischen Leitlinie </w:t>
            </w:r>
            <w:r w:rsidR="00E658B9" w:rsidRPr="5FAF655F">
              <w:rPr>
                <w:rFonts w:eastAsiaTheme="minorEastAsia"/>
              </w:rPr>
              <w:t>(</w:t>
            </w:r>
            <w:bookmarkStart w:id="5" w:name="OLE_LINK1"/>
            <w:r w:rsidR="00E41DFF" w:rsidRPr="00E41DFF">
              <w:rPr>
                <w:rFonts w:eastAsiaTheme="minorEastAsia"/>
              </w:rPr>
              <w:t xml:space="preserve">Hellmich B, et al. </w:t>
            </w:r>
            <w:r w:rsidR="00C36585" w:rsidRPr="00C36585">
              <w:rPr>
                <w:rFonts w:eastAsiaTheme="minorEastAsia"/>
                <w:lang w:val="en-US"/>
              </w:rPr>
              <w:t>EULAR recommendations for the management of</w:t>
            </w:r>
          </w:p>
          <w:p w14:paraId="08E87CA3" w14:textId="1387C960" w:rsidR="00321EF6" w:rsidRPr="00C36585" w:rsidRDefault="00C36585" w:rsidP="00C36585">
            <w:pPr>
              <w:pStyle w:val="xmsonormal"/>
              <w:spacing w:line="260" w:lineRule="atLeast"/>
              <w:rPr>
                <w:rFonts w:eastAsiaTheme="minorEastAsia"/>
                <w:lang w:val="en-US"/>
              </w:rPr>
            </w:pPr>
            <w:r w:rsidRPr="00C36585">
              <w:rPr>
                <w:rFonts w:eastAsiaTheme="minorEastAsia"/>
                <w:lang w:val="en-US"/>
              </w:rPr>
              <w:t>ANCA-associated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C36585">
              <w:rPr>
                <w:rFonts w:eastAsiaTheme="minorEastAsia"/>
                <w:lang w:val="en-US"/>
              </w:rPr>
              <w:t>vasculitis: 2022 update</w:t>
            </w:r>
            <w:r>
              <w:rPr>
                <w:rFonts w:eastAsiaTheme="minorEastAsia"/>
                <w:lang w:val="en-US"/>
              </w:rPr>
              <w:t xml:space="preserve">. </w:t>
            </w:r>
            <w:r w:rsidR="00E41DFF" w:rsidRPr="00C36585">
              <w:rPr>
                <w:rFonts w:eastAsiaTheme="minorEastAsia"/>
                <w:lang w:val="en-US"/>
              </w:rPr>
              <w:t>Ann Rheum Dis 2023;0:1–18. doi:10.1136/ard-2022-223764</w:t>
            </w:r>
            <w:bookmarkEnd w:id="5"/>
            <w:r w:rsidR="00E658B9" w:rsidRPr="00C36585">
              <w:rPr>
                <w:rFonts w:eastAsiaTheme="minorEastAsia"/>
                <w:lang w:val="en-US"/>
              </w:rPr>
              <w:t>)</w:t>
            </w:r>
            <w:r w:rsidR="00321EF6" w:rsidRPr="00C36585">
              <w:rPr>
                <w:rFonts w:eastAsiaTheme="minorEastAsia"/>
                <w:lang w:val="en-US"/>
              </w:rPr>
              <w:t>.</w:t>
            </w:r>
            <w:r w:rsidR="7EE3C009" w:rsidRPr="00C36585">
              <w:rPr>
                <w:rFonts w:eastAsiaTheme="minorEastAsia"/>
                <w:lang w:val="en-US"/>
              </w:rPr>
              <w:t xml:space="preserve"> </w:t>
            </w:r>
          </w:p>
          <w:sdt>
            <w:sdtPr>
              <w:rPr>
                <w:rFonts w:eastAsiaTheme="minorEastAsia"/>
                <w:color w:val="4472C4"/>
              </w:rPr>
              <w:id w:val="-1201933741"/>
              <w:placeholder>
                <w:docPart w:val="DefaultPlaceholder_-1854013440"/>
              </w:placeholder>
              <w:showingPlcHdr/>
              <w:text/>
            </w:sdtPr>
            <w:sdtContent>
              <w:p w14:paraId="22312030" w14:textId="68B99E8E" w:rsidR="00321EF6" w:rsidRPr="000035B0" w:rsidRDefault="00375D3D" w:rsidP="00E658B9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</w:rPr>
                </w:pPr>
                <w:r w:rsidRPr="00375D3D">
                  <w:rPr>
                    <w:rStyle w:val="PlaceholderText"/>
                    <w:shd w:val="clear" w:color="auto" w:fill="AEAAAA" w:themeFill="background2" w:themeFillShade="BF"/>
                  </w:rPr>
                  <w:t>Klicken oder tippen Sie hier, um Text einzugeben.</w:t>
                </w:r>
              </w:p>
            </w:sdtContent>
          </w:sdt>
          <w:p w14:paraId="321397B3" w14:textId="6BD876C5" w:rsidR="00BE4AD9" w:rsidRPr="000035B0" w:rsidRDefault="00BE4AD9" w:rsidP="00AC2B82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</w:p>
          <w:p w14:paraId="33750197" w14:textId="2EC93BB9" w:rsidR="00AC2B82" w:rsidRPr="00C03835" w:rsidRDefault="00AC2B82" w:rsidP="00AA70A8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</w:p>
        </w:tc>
      </w:tr>
      <w:tr w:rsidR="002411DC" w:rsidRPr="00DA7ABC" w14:paraId="3198131D" w14:textId="77777777" w:rsidTr="00C82A57">
        <w:trPr>
          <w:trHeight w:val="2398"/>
        </w:trPr>
        <w:tc>
          <w:tcPr>
            <w:tcW w:w="2074" w:type="dxa"/>
          </w:tcPr>
          <w:p w14:paraId="38F8F850" w14:textId="0F8ED364" w:rsidR="00E577F7" w:rsidRPr="00F70228" w:rsidRDefault="00E577F7" w:rsidP="00AC3DD1">
            <w:pPr>
              <w:pStyle w:val="xmsonormal"/>
              <w:spacing w:line="260" w:lineRule="atLeast"/>
              <w:rPr>
                <w:rFonts w:eastAsiaTheme="minorEastAsia"/>
                <w:b/>
              </w:rPr>
            </w:pPr>
            <w:r w:rsidRPr="00F70228">
              <w:rPr>
                <w:rFonts w:eastAsiaTheme="minorEastAsia"/>
                <w:b/>
              </w:rPr>
              <w:t>Antrag um Kostenübernahme</w:t>
            </w:r>
          </w:p>
        </w:tc>
        <w:tc>
          <w:tcPr>
            <w:tcW w:w="6991" w:type="dxa"/>
            <w:gridSpan w:val="2"/>
          </w:tcPr>
          <w:p w14:paraId="7B6EA36F" w14:textId="77777777" w:rsidR="001C1167" w:rsidRDefault="00E577F7" w:rsidP="00E577F7">
            <w:pPr>
              <w:pStyle w:val="xmsonormal"/>
              <w:spacing w:line="260" w:lineRule="atLeast"/>
            </w:pPr>
            <w:r w:rsidRPr="006E14E0">
              <w:t xml:space="preserve">Die Vergütungsvoraussetzungen </w:t>
            </w:r>
          </w:p>
          <w:p w14:paraId="0C8B2B62" w14:textId="77777777" w:rsidR="001C1167" w:rsidRDefault="00E577F7" w:rsidP="00E577F7">
            <w:pPr>
              <w:pStyle w:val="xmsonormal"/>
              <w:spacing w:line="260" w:lineRule="atLeast"/>
            </w:pPr>
            <w:r w:rsidRPr="006E14E0">
              <w:t xml:space="preserve">(1) schwere und chronische gesundheitliche Beeinträchtigung mit potenziell tödlichem Verlauf, </w:t>
            </w:r>
          </w:p>
          <w:p w14:paraId="30C435EE" w14:textId="77777777" w:rsidR="001C1167" w:rsidRDefault="00E577F7" w:rsidP="00E577F7">
            <w:pPr>
              <w:pStyle w:val="xmsonormal"/>
              <w:spacing w:line="260" w:lineRule="atLeast"/>
            </w:pPr>
            <w:r w:rsidRPr="006E14E0">
              <w:t>(2) grosser therapeutischer Nutzen und</w:t>
            </w:r>
          </w:p>
          <w:p w14:paraId="2EC2117F" w14:textId="68A6D97E" w:rsidR="00E577F7" w:rsidRPr="006E14E0" w:rsidRDefault="00E577F7" w:rsidP="00E577F7">
            <w:pPr>
              <w:pStyle w:val="xmsonormal"/>
              <w:spacing w:line="260" w:lineRule="atLeast"/>
            </w:pPr>
            <w:r w:rsidRPr="006E14E0">
              <w:t>(3) keine zumutbare Therapiealternative verfügbar, sind zusammengefasst erfüllt.</w:t>
            </w:r>
          </w:p>
          <w:p w14:paraId="66260096" w14:textId="77777777" w:rsidR="00E577F7" w:rsidRPr="006E14E0" w:rsidRDefault="00E577F7" w:rsidP="00E577F7">
            <w:pPr>
              <w:pStyle w:val="xmsonormal"/>
              <w:spacing w:line="260" w:lineRule="atLeast"/>
            </w:pPr>
          </w:p>
          <w:p w14:paraId="5AF17752" w14:textId="4C6A6997" w:rsidR="00E577F7" w:rsidRPr="006E14E0" w:rsidRDefault="00F02E1B" w:rsidP="00E577F7">
            <w:pPr>
              <w:pStyle w:val="xmsonormal"/>
              <w:spacing w:line="260" w:lineRule="atLeast"/>
            </w:pPr>
            <w:r>
              <w:t>Ich</w:t>
            </w:r>
            <w:r w:rsidR="00E577F7" w:rsidRPr="006E14E0">
              <w:t xml:space="preserve"> mache Sie daher höflich darauf aufmerksam, dass Sie unter gegebenen Voraussetzungen verpflichtet sind, die Kosten der Therapie mit Tavneos </w:t>
            </w:r>
            <w:r w:rsidR="001C1167">
              <w:t xml:space="preserve">(Avacopan) </w:t>
            </w:r>
            <w:r w:rsidR="00E577F7" w:rsidRPr="006E14E0">
              <w:t xml:space="preserve">über die Grundversicherung nach Art. 71a bis 71d KVV zu vergüten. </w:t>
            </w:r>
          </w:p>
          <w:p w14:paraId="7C7B7627" w14:textId="77777777" w:rsidR="00E577F7" w:rsidRPr="006E14E0" w:rsidRDefault="00E577F7" w:rsidP="00E577F7">
            <w:pPr>
              <w:pStyle w:val="xmsonormal"/>
              <w:spacing w:line="260" w:lineRule="atLeast"/>
            </w:pPr>
          </w:p>
          <w:p w14:paraId="2770AF8E" w14:textId="229AAB84" w:rsidR="00E577F7" w:rsidRPr="006E14E0" w:rsidRDefault="00E577F7" w:rsidP="006E0A6B">
            <w:pPr>
              <w:pStyle w:val="xmsonormal"/>
              <w:spacing w:line="260" w:lineRule="atLeast"/>
            </w:pPr>
            <w:r>
              <w:t>Ich ersuche Sie</w:t>
            </w:r>
            <w:r w:rsidR="6FDD5F68">
              <w:t xml:space="preserve"> daher</w:t>
            </w:r>
            <w:r>
              <w:t xml:space="preserve">, mein Kostengutsprachegesuch für die weitere Behandlung zur Kontrolle der Krankheitsaktivität und Einsparung von Glukokortikoiden für </w:t>
            </w:r>
            <w:r w:rsidRPr="0F963C2B">
              <w:rPr>
                <w:highlight w:val="cyan"/>
              </w:rPr>
              <w:t>NAME PATIENT</w:t>
            </w:r>
            <w:r>
              <w:t xml:space="preserve"> mit </w:t>
            </w:r>
            <w:r w:rsidR="00D1255E">
              <w:t>Tavneos (</w:t>
            </w:r>
            <w:r>
              <w:t>Avacopan</w:t>
            </w:r>
            <w:r w:rsidR="00D1255E">
              <w:t>)</w:t>
            </w:r>
            <w:r>
              <w:t xml:space="preserve"> in Verbindung mit </w:t>
            </w:r>
            <w:r w:rsidRPr="0F963C2B">
              <w:rPr>
                <w:highlight w:val="cyan"/>
              </w:rPr>
              <w:t>[Rituximab/Cyclophosphamid]</w:t>
            </w:r>
            <w:r>
              <w:t>, welches dem Zulassungslabel der Swissmedic entspricht und dem Behandlungsschema der neuen Europäischen Leitlinien (</w:t>
            </w:r>
            <w:r w:rsidR="006E0A6B">
              <w:rPr>
                <w:rFonts w:eastAsiaTheme="minorEastAsia"/>
              </w:rPr>
              <w:t xml:space="preserve">Hellmich B, et al. </w:t>
            </w:r>
            <w:r w:rsidR="006E0A6B">
              <w:rPr>
                <w:rFonts w:eastAsiaTheme="minorEastAsia"/>
                <w:lang w:val="en-US"/>
              </w:rPr>
              <w:t>EULAR recommendations for the management of</w:t>
            </w:r>
            <w:r w:rsidR="008D6AD5">
              <w:rPr>
                <w:rFonts w:eastAsiaTheme="minorEastAsia"/>
                <w:lang w:val="en-US"/>
              </w:rPr>
              <w:t xml:space="preserve"> </w:t>
            </w:r>
            <w:r w:rsidR="006E0A6B">
              <w:rPr>
                <w:lang w:val="en-US"/>
              </w:rPr>
              <w:t xml:space="preserve">ANCA-associated vasculitis: 2022 update. </w:t>
            </w:r>
            <w:r w:rsidR="006E0A6B" w:rsidRPr="006E0A6B">
              <w:t>Ann Rheum Dis 2023;0:1–18. doi:10.1136/ard-2022-223764</w:t>
            </w:r>
            <w:r>
              <w:t>)</w:t>
            </w:r>
            <w:r w:rsidR="008D57BB">
              <w:t xml:space="preserve">, </w:t>
            </w:r>
            <w:r w:rsidR="007024FE">
              <w:t xml:space="preserve">gutzuheissen und </w:t>
            </w:r>
            <w:r>
              <w:t xml:space="preserve">im Namen von </w:t>
            </w:r>
            <w:r w:rsidRPr="0F963C2B">
              <w:rPr>
                <w:highlight w:val="cyan"/>
              </w:rPr>
              <w:t>NAME PATIENT</w:t>
            </w:r>
            <w:r>
              <w:t xml:space="preserve"> die Kostengutsprache zu gewähren.  </w:t>
            </w:r>
          </w:p>
          <w:p w14:paraId="290B97F4" w14:textId="77777777" w:rsidR="00E577F7" w:rsidRPr="006E14E0" w:rsidRDefault="00E577F7" w:rsidP="00E577F7">
            <w:pPr>
              <w:pStyle w:val="xmsonormal"/>
              <w:spacing w:line="260" w:lineRule="atLeast"/>
              <w:rPr>
                <w:shd w:val="clear" w:color="auto" w:fill="FFFFFF"/>
              </w:rPr>
            </w:pPr>
          </w:p>
          <w:p w14:paraId="425AD487" w14:textId="32A41E20" w:rsidR="00E577F7" w:rsidRPr="00C03835" w:rsidRDefault="00E577F7" w:rsidP="0F963C2B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</w:rPr>
            </w:pPr>
            <w:r>
              <w:t>Sollten Sie anderer Auffassung sein, bitte ich Sie höflich um ein begründetes Ablehnungsschreiben</w:t>
            </w:r>
            <w:r w:rsidR="3D77FE03">
              <w:t xml:space="preserve"> zuhanden </w:t>
            </w:r>
            <w:r w:rsidR="3D77FE03" w:rsidRPr="0F963C2B">
              <w:rPr>
                <w:highlight w:val="cyan"/>
              </w:rPr>
              <w:t>(NAME PATIENT)</w:t>
            </w:r>
            <w:r>
              <w:t>.</w:t>
            </w:r>
          </w:p>
        </w:tc>
      </w:tr>
    </w:tbl>
    <w:p w14:paraId="56F4AE54" w14:textId="64AA46B8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 </w:t>
      </w:r>
    </w:p>
    <w:p w14:paraId="7367F787" w14:textId="768FEB74" w:rsidR="00523BDF" w:rsidRDefault="00523BDF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0A48B343" w14:textId="1E6D23C2" w:rsidR="00523BDF" w:rsidRDefault="00523BDF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Mit freundliche</w:t>
      </w:r>
      <w:r w:rsidR="00806FCB">
        <w:rPr>
          <w:rFonts w:eastAsiaTheme="minorEastAsia"/>
          <w:sz w:val="22"/>
          <w:szCs w:val="22"/>
        </w:rPr>
        <w:t>n</w:t>
      </w:r>
      <w:r>
        <w:rPr>
          <w:rFonts w:eastAsiaTheme="minorEastAsia"/>
          <w:sz w:val="22"/>
          <w:szCs w:val="22"/>
        </w:rPr>
        <w:t xml:space="preserve"> Grüssen </w:t>
      </w:r>
    </w:p>
    <w:p w14:paraId="764929B0" w14:textId="48EEF811" w:rsidR="00523BDF" w:rsidRDefault="00523BDF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00770AF5">
        <w:rPr>
          <w:rFonts w:eastAsiaTheme="minorEastAsia"/>
          <w:sz w:val="22"/>
          <w:szCs w:val="22"/>
          <w:highlight w:val="cyan"/>
        </w:rPr>
        <w:t>XX</w:t>
      </w:r>
    </w:p>
    <w:p w14:paraId="70A6E5B3" w14:textId="582CF0D8" w:rsidR="00A57E7A" w:rsidRDefault="00A57E7A">
      <w:pPr>
        <w:rPr>
          <w:b/>
          <w:bCs/>
        </w:rPr>
      </w:pPr>
    </w:p>
    <w:p w14:paraId="669581A1" w14:textId="349DB02E" w:rsidR="00A57E7A" w:rsidRDefault="00A57E7A">
      <w:pPr>
        <w:rPr>
          <w:b/>
          <w:bCs/>
        </w:rPr>
      </w:pPr>
    </w:p>
    <w:p w14:paraId="239071A8" w14:textId="55B5BCDD" w:rsidR="00A57E7A" w:rsidRDefault="00A57E7A">
      <w:pPr>
        <w:rPr>
          <w:b/>
          <w:bCs/>
        </w:rPr>
      </w:pPr>
    </w:p>
    <w:p w14:paraId="2FD0F3C7" w14:textId="5301AE81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45A5B005" w14:textId="763DF6FA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0AE8C045" w14:textId="4F206310" w:rsidR="009925BB" w:rsidRPr="009925BB" w:rsidRDefault="00923835">
      <w:r w:rsidRPr="00A10DA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B8D85" wp14:editId="554A1D75">
                <wp:simplePos x="0" y="0"/>
                <wp:positionH relativeFrom="margin">
                  <wp:posOffset>-635</wp:posOffset>
                </wp:positionH>
                <wp:positionV relativeFrom="paragraph">
                  <wp:posOffset>1137285</wp:posOffset>
                </wp:positionV>
                <wp:extent cx="1417955" cy="1828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ED36" w14:textId="0EC215CD" w:rsidR="00A10DA6" w:rsidRPr="005C4F6C" w:rsidRDefault="00A10DA6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C4F6C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D</w:t>
                            </w:r>
                            <w:r w:rsidR="00A80618" w:rsidRPr="005C4F6C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0</w:t>
                            </w:r>
                            <w:r w:rsidR="00323582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4</w:t>
                            </w:r>
                            <w:r w:rsidR="00A80618" w:rsidRPr="005C4F6C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/2023 </w:t>
                            </w:r>
                            <w:r w:rsidR="0050483F" w:rsidRPr="005C4F6C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CH-AVA-2300013</w:t>
                            </w:r>
                            <w:r w:rsidR="00575F4E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v.2</w:t>
                            </w:r>
                          </w:p>
                        </w:txbxContent>
                      </wps:txbx>
                      <wps:bodyPr rot="0" vert="horz" wrap="square" lIns="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B8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89.55pt;width:111.65pt;height: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" filled="f" stroked="f">
                <v:textbox inset="0,,,0">
                  <w:txbxContent>
                    <w:p w14:paraId="69A6ED36" w14:textId="0EC215CD" w:rsidR="00A10DA6" w:rsidRPr="005C4F6C" w:rsidRDefault="00A10DA6">
                      <w:pPr>
                        <w:rPr>
                          <w:color w:val="A6A6A6" w:themeColor="background1" w:themeShade="A6"/>
                          <w:sz w:val="14"/>
                          <w:szCs w:val="14"/>
                          <w:lang w:val="en-US"/>
                        </w:rPr>
                      </w:pPr>
                      <w:r w:rsidRPr="005C4F6C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D</w:t>
                      </w:r>
                      <w:r w:rsidR="00A80618" w:rsidRPr="005C4F6C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 0</w:t>
                      </w:r>
                      <w:r w:rsidR="00323582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4</w:t>
                      </w:r>
                      <w:r w:rsidR="00A80618" w:rsidRPr="005C4F6C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/2023 </w:t>
                      </w:r>
                      <w:r w:rsidR="0050483F" w:rsidRPr="005C4F6C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CH-AVA-2300013</w:t>
                      </w:r>
                      <w:r w:rsidR="00575F4E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 v.2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25BB" w:rsidRPr="009925BB" w:rsidSect="000105D5">
      <w:footerReference w:type="default" r:id="rId15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SL Vifor" w:date="2023-01-20T17:44:00Z" w:initials="CSL">
    <w:p w14:paraId="1D8E484E" w14:textId="77777777" w:rsidR="00C96349" w:rsidRDefault="00C96349" w:rsidP="00C2663E">
      <w:pPr>
        <w:pStyle w:val="CommentText"/>
      </w:pPr>
      <w:r>
        <w:rPr>
          <w:rStyle w:val="CommentReference"/>
        </w:rPr>
        <w:annotationRef/>
      </w:r>
      <w:r>
        <w:t>Beschreibung des Patienten: GPA/MPA, aktiv, schwere, Organbeteiligung etc.</w:t>
      </w:r>
    </w:p>
  </w:comment>
  <w:comment w:id="2" w:author="CSL Vifor" w:date="2023-01-20T17:44:00Z" w:initials="CSL">
    <w:p w14:paraId="351CF13D" w14:textId="77777777" w:rsidR="00C96349" w:rsidRDefault="00C96349" w:rsidP="00CA53D6">
      <w:pPr>
        <w:pStyle w:val="CommentText"/>
      </w:pPr>
      <w:r>
        <w:rPr>
          <w:rStyle w:val="CommentReference"/>
        </w:rPr>
        <w:annotationRef/>
      </w:r>
      <w:r>
        <w:t>Informationen über die medizinische Vorgeschichte. Einschliesslich Beginn und Ende der Behandlung, unmet need und Dosis. Detaillierter Krankheitsverlauf, einschliesslich Veränderungen der klinischen Werte etc.</w:t>
      </w:r>
    </w:p>
  </w:comment>
  <w:comment w:id="3" w:author="CSL Vifor" w:date="2023-01-20T17:45:00Z" w:initials="CSL">
    <w:p w14:paraId="6230379F" w14:textId="77777777" w:rsidR="00C96349" w:rsidRDefault="00C96349" w:rsidP="00D270D6">
      <w:pPr>
        <w:pStyle w:val="CommentText"/>
      </w:pPr>
      <w:r>
        <w:rPr>
          <w:rStyle w:val="CommentReference"/>
        </w:rPr>
        <w:annotationRef/>
      </w:r>
      <w:r>
        <w:t>Verbesserungen unter der Behandlung mit Tavneos oder erwartete Verbesserungen (klinische Werte, Reduzierung von Glukokortikoiden usw.)</w:t>
      </w:r>
    </w:p>
  </w:comment>
  <w:comment w:id="4" w:author="CSL Vifor" w:date="2023-01-20T17:45:00Z" w:initials="CSL">
    <w:p w14:paraId="025A4EA0" w14:textId="77777777" w:rsidR="00C96349" w:rsidRDefault="00C96349" w:rsidP="00AA3AA1">
      <w:pPr>
        <w:pStyle w:val="CommentText"/>
      </w:pPr>
      <w:r>
        <w:rPr>
          <w:rStyle w:val="CommentReference"/>
        </w:rPr>
        <w:annotationRef/>
      </w:r>
      <w:r>
        <w:t>Beschreibung der Gründe, warum die Behandlungsalternative nicht angewendet werden kann, z. B. Versagen der Standardbehandlung, Kontraindikationen usw.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E484E" w15:done="0"/>
  <w15:commentEx w15:paraId="351CF13D" w15:done="0"/>
  <w15:commentEx w15:paraId="6230379F" w15:done="0"/>
  <w15:commentEx w15:paraId="025A4E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5162" w16cex:dateUtc="2023-01-20T16:44:00Z"/>
  <w16cex:commentExtensible w16cex:durableId="27755195" w16cex:dateUtc="2023-01-20T16:44:00Z"/>
  <w16cex:commentExtensible w16cex:durableId="277551B0" w16cex:dateUtc="2023-01-20T16:45:00Z"/>
  <w16cex:commentExtensible w16cex:durableId="277551CE" w16cex:dateUtc="2023-01-20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E484E" w16cid:durableId="27755162"/>
  <w16cid:commentId w16cid:paraId="351CF13D" w16cid:durableId="27755195"/>
  <w16cid:commentId w16cid:paraId="6230379F" w16cid:durableId="277551B0"/>
  <w16cid:commentId w16cid:paraId="025A4EA0" w16cid:durableId="277551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3366" w14:textId="77777777" w:rsidR="00DC229D" w:rsidRDefault="00DC229D" w:rsidP="009925BB">
      <w:pPr>
        <w:spacing w:after="0" w:line="240" w:lineRule="auto"/>
      </w:pPr>
      <w:r>
        <w:separator/>
      </w:r>
    </w:p>
  </w:endnote>
  <w:endnote w:type="continuationSeparator" w:id="0">
    <w:p w14:paraId="0BB37D68" w14:textId="77777777" w:rsidR="00DC229D" w:rsidRDefault="00DC229D" w:rsidP="009925BB">
      <w:pPr>
        <w:spacing w:after="0" w:line="240" w:lineRule="auto"/>
      </w:pPr>
      <w:r>
        <w:continuationSeparator/>
      </w:r>
    </w:p>
  </w:endnote>
  <w:endnote w:type="continuationNotice" w:id="1">
    <w:p w14:paraId="200FC121" w14:textId="77777777" w:rsidR="00DC229D" w:rsidRDefault="00DC2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12C1" w14:textId="2F77962B" w:rsidR="009925BB" w:rsidRPr="00B55708" w:rsidRDefault="00553447" w:rsidP="00B55708">
    <w:pPr>
      <w:pStyle w:val="Footer"/>
      <w:tabs>
        <w:tab w:val="clear" w:pos="9072"/>
      </w:tabs>
      <w:jc w:val="right"/>
      <w:rPr>
        <w:sz w:val="18"/>
        <w:szCs w:val="18"/>
      </w:rPr>
    </w:pPr>
    <w:r w:rsidRPr="00E646B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FEC75D5" wp14:editId="6FEC13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2" name="MSIPCM82414fa1956258e5ed90863f" descr="{&quot;HashCode&quot;:-153544293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DEE12C" w14:textId="6EFAED31" w:rsidR="00553447" w:rsidRPr="00553447" w:rsidRDefault="00553447" w:rsidP="0055344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553447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C75D5" id="_x0000_t202" coordsize="21600,21600" o:spt="202" path="m,l,21600r21600,l21600,xe">
              <v:stroke joinstyle="miter"/>
              <v:path gradientshapeok="t" o:connecttype="rect"/>
            </v:shapetype>
            <v:shape id="MSIPCM82414fa1956258e5ed90863f" o:spid="_x0000_s1027" type="#_x0000_t202" alt="{&quot;HashCode&quot;:-153544293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DDEE12C" w14:textId="6EFAED31" w:rsidR="00553447" w:rsidRPr="00553447" w:rsidRDefault="00553447" w:rsidP="0055344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553447">
                      <w:rPr>
                        <w:rFonts w:ascii="Calibri" w:hAnsi="Calibri" w:cs="Calibri"/>
                        <w:color w:val="000000"/>
                        <w:sz w:val="14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6610" w:rsidRPr="00E646B3">
      <w:rPr>
        <w:sz w:val="18"/>
        <w:szCs w:val="18"/>
      </w:rPr>
      <w:t xml:space="preserve">Seite </w:t>
    </w:r>
    <w:r w:rsidR="00D36610" w:rsidRPr="00E646B3">
      <w:rPr>
        <w:sz w:val="18"/>
        <w:szCs w:val="18"/>
      </w:rPr>
      <w:fldChar w:fldCharType="begin"/>
    </w:r>
    <w:r w:rsidR="00D36610" w:rsidRPr="00E646B3">
      <w:rPr>
        <w:sz w:val="18"/>
        <w:szCs w:val="18"/>
      </w:rPr>
      <w:instrText xml:space="preserve"> PAGE   \* MERGEFORMAT </w:instrText>
    </w:r>
    <w:r w:rsidR="00D36610" w:rsidRPr="00E646B3">
      <w:rPr>
        <w:sz w:val="18"/>
        <w:szCs w:val="18"/>
      </w:rPr>
      <w:fldChar w:fldCharType="separate"/>
    </w:r>
    <w:r w:rsidR="00D36610" w:rsidRPr="00E646B3">
      <w:rPr>
        <w:noProof/>
        <w:sz w:val="18"/>
        <w:szCs w:val="18"/>
      </w:rPr>
      <w:t>2</w:t>
    </w:r>
    <w:r w:rsidR="00D36610" w:rsidRPr="00E646B3">
      <w:rPr>
        <w:sz w:val="18"/>
        <w:szCs w:val="18"/>
      </w:rPr>
      <w:fldChar w:fldCharType="end"/>
    </w:r>
    <w:r w:rsidR="00E646B3" w:rsidRPr="00E646B3">
      <w:rPr>
        <w:sz w:val="18"/>
        <w:szCs w:val="18"/>
      </w:rPr>
      <w:t xml:space="preserve"> von </w:t>
    </w:r>
    <w:r w:rsidR="00E646B3" w:rsidRPr="00E646B3">
      <w:rPr>
        <w:sz w:val="18"/>
        <w:szCs w:val="18"/>
      </w:rPr>
      <w:fldChar w:fldCharType="begin"/>
    </w:r>
    <w:r w:rsidR="00E646B3" w:rsidRPr="00E646B3">
      <w:rPr>
        <w:sz w:val="18"/>
        <w:szCs w:val="18"/>
      </w:rPr>
      <w:instrText xml:space="preserve"> NUMPAGES   \* MERGEFORMAT </w:instrText>
    </w:r>
    <w:r w:rsidR="00E646B3" w:rsidRPr="00E646B3">
      <w:rPr>
        <w:sz w:val="18"/>
        <w:szCs w:val="18"/>
      </w:rPr>
      <w:fldChar w:fldCharType="separate"/>
    </w:r>
    <w:r w:rsidR="00E646B3" w:rsidRPr="00E646B3">
      <w:rPr>
        <w:noProof/>
        <w:sz w:val="18"/>
        <w:szCs w:val="18"/>
      </w:rPr>
      <w:t>2</w:t>
    </w:r>
    <w:r w:rsidR="00E646B3" w:rsidRPr="00E646B3">
      <w:rPr>
        <w:sz w:val="18"/>
        <w:szCs w:val="18"/>
      </w:rPr>
      <w:fldChar w:fldCharType="end"/>
    </w:r>
    <w:r w:rsidR="00E3208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CDAEB" wp14:editId="149B0834">
              <wp:simplePos x="0" y="0"/>
              <wp:positionH relativeFrom="column">
                <wp:posOffset>2347497</wp:posOffset>
              </wp:positionH>
              <wp:positionV relativeFrom="paragraph">
                <wp:posOffset>92173</wp:posOffset>
              </wp:positionV>
              <wp:extent cx="1137139" cy="345830"/>
              <wp:effectExtent l="0" t="0" r="25400" b="165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7139" cy="3458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065C8" id="Rectangle 1" o:spid="_x0000_s1026" style="position:absolute;margin-left:184.85pt;margin-top:7.25pt;width:89.5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AF14" w14:textId="77777777" w:rsidR="00DC229D" w:rsidRDefault="00DC229D" w:rsidP="009925BB">
      <w:pPr>
        <w:spacing w:after="0" w:line="240" w:lineRule="auto"/>
      </w:pPr>
      <w:r>
        <w:separator/>
      </w:r>
    </w:p>
  </w:footnote>
  <w:footnote w:type="continuationSeparator" w:id="0">
    <w:p w14:paraId="4C96EBCA" w14:textId="77777777" w:rsidR="00DC229D" w:rsidRDefault="00DC229D" w:rsidP="009925BB">
      <w:pPr>
        <w:spacing w:after="0" w:line="240" w:lineRule="auto"/>
      </w:pPr>
      <w:r>
        <w:continuationSeparator/>
      </w:r>
    </w:p>
  </w:footnote>
  <w:footnote w:type="continuationNotice" w:id="1">
    <w:p w14:paraId="420C9140" w14:textId="77777777" w:rsidR="00DC229D" w:rsidRDefault="00DC22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1207"/>
    <w:multiLevelType w:val="hybridMultilevel"/>
    <w:tmpl w:val="B296A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7B5"/>
    <w:multiLevelType w:val="hybridMultilevel"/>
    <w:tmpl w:val="3BFE0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427C"/>
    <w:multiLevelType w:val="hybridMultilevel"/>
    <w:tmpl w:val="FB3E0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15B7C"/>
    <w:multiLevelType w:val="hybridMultilevel"/>
    <w:tmpl w:val="BE402C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6344"/>
    <w:multiLevelType w:val="hybridMultilevel"/>
    <w:tmpl w:val="9C9E03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498D"/>
    <w:multiLevelType w:val="hybridMultilevel"/>
    <w:tmpl w:val="E5E2C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44235"/>
    <w:multiLevelType w:val="hybridMultilevel"/>
    <w:tmpl w:val="396C34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6733">
    <w:abstractNumId w:val="1"/>
  </w:num>
  <w:num w:numId="2" w16cid:durableId="229853981">
    <w:abstractNumId w:val="0"/>
  </w:num>
  <w:num w:numId="3" w16cid:durableId="808523335">
    <w:abstractNumId w:val="3"/>
  </w:num>
  <w:num w:numId="4" w16cid:durableId="1391460758">
    <w:abstractNumId w:val="1"/>
  </w:num>
  <w:num w:numId="5" w16cid:durableId="948511335">
    <w:abstractNumId w:val="2"/>
  </w:num>
  <w:num w:numId="6" w16cid:durableId="1575892885">
    <w:abstractNumId w:val="4"/>
  </w:num>
  <w:num w:numId="7" w16cid:durableId="55737645">
    <w:abstractNumId w:val="6"/>
  </w:num>
  <w:num w:numId="8" w16cid:durableId="1303928981">
    <w:abstractNumId w:val="5"/>
  </w:num>
  <w:num w:numId="9" w16cid:durableId="1104300329">
    <w:abstractNumId w:val="6"/>
  </w:num>
  <w:num w:numId="10" w16cid:durableId="2081364533">
    <w:abstractNumId w:val="5"/>
  </w:num>
  <w:num w:numId="11" w16cid:durableId="1396138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SL Vifor">
    <w15:presenceInfo w15:providerId="None" w15:userId="CSL Vif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B"/>
    <w:rsid w:val="000035B0"/>
    <w:rsid w:val="00004DCE"/>
    <w:rsid w:val="000105D5"/>
    <w:rsid w:val="00011A17"/>
    <w:rsid w:val="00025B69"/>
    <w:rsid w:val="00033302"/>
    <w:rsid w:val="00043639"/>
    <w:rsid w:val="00047AD5"/>
    <w:rsid w:val="00057219"/>
    <w:rsid w:val="00065CDC"/>
    <w:rsid w:val="0007200C"/>
    <w:rsid w:val="000860D8"/>
    <w:rsid w:val="00096B03"/>
    <w:rsid w:val="000C1986"/>
    <w:rsid w:val="000C63B1"/>
    <w:rsid w:val="000D12D7"/>
    <w:rsid w:val="000D5A53"/>
    <w:rsid w:val="000E4B51"/>
    <w:rsid w:val="001426B1"/>
    <w:rsid w:val="00164B27"/>
    <w:rsid w:val="00164F6D"/>
    <w:rsid w:val="00172DCD"/>
    <w:rsid w:val="00174531"/>
    <w:rsid w:val="00177871"/>
    <w:rsid w:val="001C1167"/>
    <w:rsid w:val="001C152E"/>
    <w:rsid w:val="001E0ACE"/>
    <w:rsid w:val="001E2B64"/>
    <w:rsid w:val="00201A31"/>
    <w:rsid w:val="002215DB"/>
    <w:rsid w:val="00240E2D"/>
    <w:rsid w:val="002411DC"/>
    <w:rsid w:val="00242157"/>
    <w:rsid w:val="002530F1"/>
    <w:rsid w:val="002603D8"/>
    <w:rsid w:val="00270EAA"/>
    <w:rsid w:val="00275F0A"/>
    <w:rsid w:val="002815DB"/>
    <w:rsid w:val="002824B1"/>
    <w:rsid w:val="002900D7"/>
    <w:rsid w:val="002A75E0"/>
    <w:rsid w:val="002A7C35"/>
    <w:rsid w:val="002B60A2"/>
    <w:rsid w:val="002E1432"/>
    <w:rsid w:val="002E3004"/>
    <w:rsid w:val="002F7209"/>
    <w:rsid w:val="00303975"/>
    <w:rsid w:val="00304B24"/>
    <w:rsid w:val="0031547E"/>
    <w:rsid w:val="00321EF6"/>
    <w:rsid w:val="00323582"/>
    <w:rsid w:val="00323B21"/>
    <w:rsid w:val="00334193"/>
    <w:rsid w:val="003470CC"/>
    <w:rsid w:val="00375D3D"/>
    <w:rsid w:val="003816E8"/>
    <w:rsid w:val="00391487"/>
    <w:rsid w:val="003A440A"/>
    <w:rsid w:val="003B51C9"/>
    <w:rsid w:val="003B73A7"/>
    <w:rsid w:val="003C1414"/>
    <w:rsid w:val="003C2052"/>
    <w:rsid w:val="003D1773"/>
    <w:rsid w:val="003D5F02"/>
    <w:rsid w:val="003F07D9"/>
    <w:rsid w:val="003F1DFA"/>
    <w:rsid w:val="004170E0"/>
    <w:rsid w:val="00426D58"/>
    <w:rsid w:val="004426F6"/>
    <w:rsid w:val="00444D88"/>
    <w:rsid w:val="00456F3B"/>
    <w:rsid w:val="00460300"/>
    <w:rsid w:val="00475975"/>
    <w:rsid w:val="004A0F8C"/>
    <w:rsid w:val="004A2C26"/>
    <w:rsid w:val="004B3AA5"/>
    <w:rsid w:val="004C061D"/>
    <w:rsid w:val="004F3EC3"/>
    <w:rsid w:val="004F6C11"/>
    <w:rsid w:val="005016DC"/>
    <w:rsid w:val="0050483F"/>
    <w:rsid w:val="00512BD6"/>
    <w:rsid w:val="00513BDB"/>
    <w:rsid w:val="00523BDF"/>
    <w:rsid w:val="00537DA2"/>
    <w:rsid w:val="00553447"/>
    <w:rsid w:val="005667DD"/>
    <w:rsid w:val="005713B2"/>
    <w:rsid w:val="00575F4E"/>
    <w:rsid w:val="00580C80"/>
    <w:rsid w:val="00594152"/>
    <w:rsid w:val="00596230"/>
    <w:rsid w:val="005A2AE1"/>
    <w:rsid w:val="005C1416"/>
    <w:rsid w:val="005C2663"/>
    <w:rsid w:val="005C2982"/>
    <w:rsid w:val="005C4F6C"/>
    <w:rsid w:val="005D13BC"/>
    <w:rsid w:val="005E30EF"/>
    <w:rsid w:val="005E3858"/>
    <w:rsid w:val="00617D40"/>
    <w:rsid w:val="0062055A"/>
    <w:rsid w:val="00622EBF"/>
    <w:rsid w:val="00633BBB"/>
    <w:rsid w:val="00635E45"/>
    <w:rsid w:val="00646EC7"/>
    <w:rsid w:val="00670F4F"/>
    <w:rsid w:val="00671FE1"/>
    <w:rsid w:val="0067714A"/>
    <w:rsid w:val="006800F0"/>
    <w:rsid w:val="0068023F"/>
    <w:rsid w:val="0068328E"/>
    <w:rsid w:val="006950D9"/>
    <w:rsid w:val="006952AD"/>
    <w:rsid w:val="006A02BF"/>
    <w:rsid w:val="006C45ED"/>
    <w:rsid w:val="006D2EDC"/>
    <w:rsid w:val="006E0A6B"/>
    <w:rsid w:val="006E14E0"/>
    <w:rsid w:val="007010C9"/>
    <w:rsid w:val="007024FE"/>
    <w:rsid w:val="007074F7"/>
    <w:rsid w:val="0071353B"/>
    <w:rsid w:val="007242A4"/>
    <w:rsid w:val="00725B87"/>
    <w:rsid w:val="00726945"/>
    <w:rsid w:val="00732FC8"/>
    <w:rsid w:val="00751C4C"/>
    <w:rsid w:val="00752B25"/>
    <w:rsid w:val="007706F0"/>
    <w:rsid w:val="00770AF5"/>
    <w:rsid w:val="00772176"/>
    <w:rsid w:val="00777199"/>
    <w:rsid w:val="00782ADC"/>
    <w:rsid w:val="007851CF"/>
    <w:rsid w:val="00797DBE"/>
    <w:rsid w:val="007C2B44"/>
    <w:rsid w:val="007D30C3"/>
    <w:rsid w:val="007D4C9F"/>
    <w:rsid w:val="007D76F3"/>
    <w:rsid w:val="007E3AD6"/>
    <w:rsid w:val="007F50C6"/>
    <w:rsid w:val="00806FCB"/>
    <w:rsid w:val="00822941"/>
    <w:rsid w:val="008276A6"/>
    <w:rsid w:val="0083598D"/>
    <w:rsid w:val="00837150"/>
    <w:rsid w:val="0085304B"/>
    <w:rsid w:val="00891ED8"/>
    <w:rsid w:val="008924E9"/>
    <w:rsid w:val="0089258D"/>
    <w:rsid w:val="008A75A1"/>
    <w:rsid w:val="008B36E7"/>
    <w:rsid w:val="008B5475"/>
    <w:rsid w:val="008C1FEB"/>
    <w:rsid w:val="008C70E5"/>
    <w:rsid w:val="008D57BB"/>
    <w:rsid w:val="008D6AD5"/>
    <w:rsid w:val="008F43DE"/>
    <w:rsid w:val="0090643A"/>
    <w:rsid w:val="00917557"/>
    <w:rsid w:val="00921033"/>
    <w:rsid w:val="00923835"/>
    <w:rsid w:val="00931CB6"/>
    <w:rsid w:val="0094631C"/>
    <w:rsid w:val="00977AAB"/>
    <w:rsid w:val="00985756"/>
    <w:rsid w:val="00990615"/>
    <w:rsid w:val="009925BB"/>
    <w:rsid w:val="009A3CD2"/>
    <w:rsid w:val="009B54F8"/>
    <w:rsid w:val="009B6FC5"/>
    <w:rsid w:val="009C7FA9"/>
    <w:rsid w:val="009E4123"/>
    <w:rsid w:val="00A0621A"/>
    <w:rsid w:val="00A06A0C"/>
    <w:rsid w:val="00A06CF4"/>
    <w:rsid w:val="00A078A4"/>
    <w:rsid w:val="00A07E08"/>
    <w:rsid w:val="00A10DA6"/>
    <w:rsid w:val="00A176C4"/>
    <w:rsid w:val="00A247F8"/>
    <w:rsid w:val="00A25602"/>
    <w:rsid w:val="00A25B51"/>
    <w:rsid w:val="00A272BA"/>
    <w:rsid w:val="00A30033"/>
    <w:rsid w:val="00A31703"/>
    <w:rsid w:val="00A57B3B"/>
    <w:rsid w:val="00A57E7A"/>
    <w:rsid w:val="00A65BF6"/>
    <w:rsid w:val="00A66202"/>
    <w:rsid w:val="00A80618"/>
    <w:rsid w:val="00AA2CE0"/>
    <w:rsid w:val="00AA70A8"/>
    <w:rsid w:val="00AB0652"/>
    <w:rsid w:val="00AB0957"/>
    <w:rsid w:val="00AB1EE8"/>
    <w:rsid w:val="00AC2B82"/>
    <w:rsid w:val="00AC3DD1"/>
    <w:rsid w:val="00B04E10"/>
    <w:rsid w:val="00B14994"/>
    <w:rsid w:val="00B20DB9"/>
    <w:rsid w:val="00B33316"/>
    <w:rsid w:val="00B55708"/>
    <w:rsid w:val="00B7107D"/>
    <w:rsid w:val="00B853E0"/>
    <w:rsid w:val="00B8780F"/>
    <w:rsid w:val="00B87839"/>
    <w:rsid w:val="00B9043A"/>
    <w:rsid w:val="00B9226F"/>
    <w:rsid w:val="00B926CC"/>
    <w:rsid w:val="00B92840"/>
    <w:rsid w:val="00B95B58"/>
    <w:rsid w:val="00B96EAE"/>
    <w:rsid w:val="00B973A7"/>
    <w:rsid w:val="00BE4AD9"/>
    <w:rsid w:val="00BE6AA8"/>
    <w:rsid w:val="00BF0D21"/>
    <w:rsid w:val="00BF1384"/>
    <w:rsid w:val="00BF7D63"/>
    <w:rsid w:val="00C03835"/>
    <w:rsid w:val="00C041A5"/>
    <w:rsid w:val="00C065AB"/>
    <w:rsid w:val="00C07941"/>
    <w:rsid w:val="00C36585"/>
    <w:rsid w:val="00C40704"/>
    <w:rsid w:val="00C43FBB"/>
    <w:rsid w:val="00C72548"/>
    <w:rsid w:val="00C7351A"/>
    <w:rsid w:val="00C76671"/>
    <w:rsid w:val="00C76C1A"/>
    <w:rsid w:val="00C82A57"/>
    <w:rsid w:val="00C82D42"/>
    <w:rsid w:val="00C835D0"/>
    <w:rsid w:val="00C96349"/>
    <w:rsid w:val="00CE5013"/>
    <w:rsid w:val="00CF2751"/>
    <w:rsid w:val="00CF714E"/>
    <w:rsid w:val="00D10D9C"/>
    <w:rsid w:val="00D1255E"/>
    <w:rsid w:val="00D26A3D"/>
    <w:rsid w:val="00D337A8"/>
    <w:rsid w:val="00D36610"/>
    <w:rsid w:val="00D36A41"/>
    <w:rsid w:val="00D412A2"/>
    <w:rsid w:val="00D418A4"/>
    <w:rsid w:val="00D5116B"/>
    <w:rsid w:val="00D56AE8"/>
    <w:rsid w:val="00D70189"/>
    <w:rsid w:val="00D7067E"/>
    <w:rsid w:val="00D7109D"/>
    <w:rsid w:val="00D7577F"/>
    <w:rsid w:val="00D8082A"/>
    <w:rsid w:val="00D83514"/>
    <w:rsid w:val="00D903F3"/>
    <w:rsid w:val="00D978A6"/>
    <w:rsid w:val="00DA0E0F"/>
    <w:rsid w:val="00DA20DC"/>
    <w:rsid w:val="00DA3A87"/>
    <w:rsid w:val="00DA7ABC"/>
    <w:rsid w:val="00DB2C18"/>
    <w:rsid w:val="00DB5A47"/>
    <w:rsid w:val="00DC229D"/>
    <w:rsid w:val="00DC6602"/>
    <w:rsid w:val="00DF28CD"/>
    <w:rsid w:val="00DF509A"/>
    <w:rsid w:val="00DF740A"/>
    <w:rsid w:val="00E014E2"/>
    <w:rsid w:val="00E06013"/>
    <w:rsid w:val="00E32083"/>
    <w:rsid w:val="00E3344E"/>
    <w:rsid w:val="00E41DFF"/>
    <w:rsid w:val="00E43EF1"/>
    <w:rsid w:val="00E45895"/>
    <w:rsid w:val="00E45DC2"/>
    <w:rsid w:val="00E577F7"/>
    <w:rsid w:val="00E579D9"/>
    <w:rsid w:val="00E62DAA"/>
    <w:rsid w:val="00E646B3"/>
    <w:rsid w:val="00E658B9"/>
    <w:rsid w:val="00E6743B"/>
    <w:rsid w:val="00E72DA9"/>
    <w:rsid w:val="00E8456F"/>
    <w:rsid w:val="00E860F7"/>
    <w:rsid w:val="00EA398B"/>
    <w:rsid w:val="00ED19CD"/>
    <w:rsid w:val="00EE28C5"/>
    <w:rsid w:val="00EE3258"/>
    <w:rsid w:val="00EE3E0A"/>
    <w:rsid w:val="00EE73E7"/>
    <w:rsid w:val="00EF32B8"/>
    <w:rsid w:val="00EF59A3"/>
    <w:rsid w:val="00F02E1B"/>
    <w:rsid w:val="00F048B0"/>
    <w:rsid w:val="00F04A24"/>
    <w:rsid w:val="00F07B94"/>
    <w:rsid w:val="00F1198E"/>
    <w:rsid w:val="00F241CD"/>
    <w:rsid w:val="00F24478"/>
    <w:rsid w:val="00F4215F"/>
    <w:rsid w:val="00F502A2"/>
    <w:rsid w:val="00F50BB6"/>
    <w:rsid w:val="00F61B7A"/>
    <w:rsid w:val="00F6664D"/>
    <w:rsid w:val="00F70228"/>
    <w:rsid w:val="00F90167"/>
    <w:rsid w:val="00FB0EFF"/>
    <w:rsid w:val="00FC38AF"/>
    <w:rsid w:val="00FD7108"/>
    <w:rsid w:val="00FE463F"/>
    <w:rsid w:val="00FE5086"/>
    <w:rsid w:val="012793F3"/>
    <w:rsid w:val="01AF129C"/>
    <w:rsid w:val="0685EE6A"/>
    <w:rsid w:val="08E5C25E"/>
    <w:rsid w:val="0A1EC06E"/>
    <w:rsid w:val="0DDE297D"/>
    <w:rsid w:val="0F963C2B"/>
    <w:rsid w:val="1163CB91"/>
    <w:rsid w:val="16E737A8"/>
    <w:rsid w:val="1DE1BB58"/>
    <w:rsid w:val="223841DC"/>
    <w:rsid w:val="22FC975F"/>
    <w:rsid w:val="243904CD"/>
    <w:rsid w:val="2A78381E"/>
    <w:rsid w:val="2E137BF0"/>
    <w:rsid w:val="2F330CF9"/>
    <w:rsid w:val="305A9C60"/>
    <w:rsid w:val="324D9700"/>
    <w:rsid w:val="331AA8AF"/>
    <w:rsid w:val="34EC0292"/>
    <w:rsid w:val="3761FA27"/>
    <w:rsid w:val="38A2A094"/>
    <w:rsid w:val="3970C1D6"/>
    <w:rsid w:val="3D77FE03"/>
    <w:rsid w:val="3DAF2B0A"/>
    <w:rsid w:val="3F238F35"/>
    <w:rsid w:val="479E0CA5"/>
    <w:rsid w:val="494F96F5"/>
    <w:rsid w:val="4B2AA387"/>
    <w:rsid w:val="4C1E421C"/>
    <w:rsid w:val="54429186"/>
    <w:rsid w:val="5518D786"/>
    <w:rsid w:val="55E13683"/>
    <w:rsid w:val="5C30674B"/>
    <w:rsid w:val="5E67C673"/>
    <w:rsid w:val="5FAF655F"/>
    <w:rsid w:val="6075BB5C"/>
    <w:rsid w:val="62408DE3"/>
    <w:rsid w:val="656CBC88"/>
    <w:rsid w:val="65C2442D"/>
    <w:rsid w:val="6CC64DB8"/>
    <w:rsid w:val="6DCD5612"/>
    <w:rsid w:val="6FDD5F68"/>
    <w:rsid w:val="7EE3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76FA7"/>
  <w15:chartTrackingRefBased/>
  <w15:docId w15:val="{5DFFAACD-EFD7-4AB7-ABD9-A6755C7B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BB"/>
  </w:style>
  <w:style w:type="paragraph" w:styleId="Footer">
    <w:name w:val="footer"/>
    <w:basedOn w:val="Normal"/>
    <w:link w:val="FooterChar"/>
    <w:uiPriority w:val="99"/>
    <w:unhideWhenUsed/>
    <w:rsid w:val="0099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BB"/>
  </w:style>
  <w:style w:type="paragraph" w:customStyle="1" w:styleId="xmsonormal">
    <w:name w:val="x_msonormal"/>
    <w:basedOn w:val="Normal"/>
    <w:rsid w:val="00AC3DD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DD1"/>
    <w:rPr>
      <w:color w:val="0563C1"/>
      <w:u w:val="single"/>
    </w:rPr>
  </w:style>
  <w:style w:type="table" w:styleId="TableGrid">
    <w:name w:val="Table Grid"/>
    <w:basedOn w:val="TableNormal"/>
    <w:uiPriority w:val="39"/>
    <w:rsid w:val="00AC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A41"/>
    <w:pPr>
      <w:ind w:left="720"/>
      <w:contextualSpacing/>
    </w:pPr>
  </w:style>
  <w:style w:type="character" w:customStyle="1" w:styleId="normaltextrun">
    <w:name w:val="normaltextrun"/>
    <w:basedOn w:val="DefaultParagraphFont"/>
    <w:rsid w:val="00513BDB"/>
  </w:style>
  <w:style w:type="character" w:styleId="CommentReference">
    <w:name w:val="annotation reference"/>
    <w:basedOn w:val="DefaultParagraphFont"/>
    <w:uiPriority w:val="99"/>
    <w:semiHidden/>
    <w:unhideWhenUsed/>
    <w:rsid w:val="0068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F0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7E3AD6"/>
  </w:style>
  <w:style w:type="character" w:styleId="PlaceholderText">
    <w:name w:val="Placeholder Text"/>
    <w:basedOn w:val="DefaultParagraphFont"/>
    <w:uiPriority w:val="99"/>
    <w:semiHidden/>
    <w:rsid w:val="00D26A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EA9A6-155C-4021-9C2C-B96EBF043B32}"/>
      </w:docPartPr>
      <w:docPartBody>
        <w:p w:rsidR="005A6BEF" w:rsidRDefault="003F07D9">
          <w:r w:rsidRPr="0062759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7D9"/>
    <w:rsid w:val="00116483"/>
    <w:rsid w:val="00285214"/>
    <w:rsid w:val="003F07D9"/>
    <w:rsid w:val="005A6BEF"/>
    <w:rsid w:val="00B115B5"/>
    <w:rsid w:val="00E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7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B96D3538FB441ADCFB13658DDB378" ma:contentTypeVersion="12" ma:contentTypeDescription="Create a new document." ma:contentTypeScope="" ma:versionID="34d2be87f704b3e22cf11b53f5d422fe">
  <xsd:schema xmlns:xsd="http://www.w3.org/2001/XMLSchema" xmlns:xs="http://www.w3.org/2001/XMLSchema" xmlns:p="http://schemas.microsoft.com/office/2006/metadata/properties" xmlns:ns2="07c32329-06cd-4c67-8045-551dd3ed15bf" xmlns:ns3="4b2e941c-050c-487e-89d7-c0a0a429f995" targetNamespace="http://schemas.microsoft.com/office/2006/metadata/properties" ma:root="true" ma:fieldsID="07d1dfe82279dc1e21a779f4542a6783" ns2:_="" ns3:_="">
    <xsd:import namespace="07c32329-06cd-4c67-8045-551dd3ed15bf"/>
    <xsd:import namespace="4b2e941c-050c-487e-89d7-c0a0a429f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32329-06cd-4c67-8045-551dd3ed1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41c-050c-487e-89d7-c0a0a429f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BFAFD-98E2-41A9-82DE-C9E29F382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32329-06cd-4c67-8045-551dd3ed15bf"/>
    <ds:schemaRef ds:uri="4b2e941c-050c-487e-89d7-c0a0a429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9E3F1-6BDE-42ED-BB05-D7F78EDCA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F2009-471E-4F2F-B061-3189479A1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87F20-13D3-4C08-A5B8-29992F035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2826</Characters>
  <Application>Microsoft Office Word</Application>
  <DocSecurity>0</DocSecurity>
  <Lines>23</Lines>
  <Paragraphs>6</Paragraphs>
  <ScaleCrop>false</ScaleCrop>
  <Company>Vifor Pharma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Krafcsik, Dijana</dc:creator>
  <cp:keywords/>
  <dc:description/>
  <cp:lastModifiedBy>Zenner, Marietta [External]</cp:lastModifiedBy>
  <cp:revision>10</cp:revision>
  <dcterms:created xsi:type="dcterms:W3CDTF">2023-03-29T14:36:00Z</dcterms:created>
  <dcterms:modified xsi:type="dcterms:W3CDTF">2023-03-29T15:29:00Z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0x010100587B96D3538FB441ADCFB13658DDB378</vt:lpwstr>
  </property>
  <property fmtid="{D5CDD505-2E9C-101B-9397-08002B2CF9AE}" pid="3" name="MSIP_Label_cd146789-9338-440e-9bc2-d4582d10ca66_Enabled">
    <vt:lpwstr>true</vt:lpwstr>
  </property>
  <property fmtid="{D5CDD505-2E9C-101B-9397-08002B2CF9AE}" pid="4" name="MSIP_Label_cd146789-9338-440e-9bc2-d4582d10ca66_SetDate">
    <vt:lpwstr>2023-03-29T14:36:49Z</vt:lpwstr>
  </property>
  <property fmtid="{D5CDD505-2E9C-101B-9397-08002B2CF9AE}" pid="5" name="MSIP_Label_cd146789-9338-440e-9bc2-d4582d10ca66_Method">
    <vt:lpwstr>Standard</vt:lpwstr>
  </property>
  <property fmtid="{D5CDD505-2E9C-101B-9397-08002B2CF9AE}" pid="6" name="MSIP_Label_cd146789-9338-440e-9bc2-d4582d10ca66_Name">
    <vt:lpwstr>Business Use</vt:lpwstr>
  </property>
  <property fmtid="{D5CDD505-2E9C-101B-9397-08002B2CF9AE}" pid="7" name="MSIP_Label_cd146789-9338-440e-9bc2-d4582d10ca66_SiteId">
    <vt:lpwstr>6836a9c5-69f0-4135-9e6b-43d1f616b550</vt:lpwstr>
  </property>
  <property fmtid="{D5CDD505-2E9C-101B-9397-08002B2CF9AE}" pid="8" name="MSIP_Label_cd146789-9338-440e-9bc2-d4582d10ca66_ActionId">
    <vt:lpwstr>34f32178-2d80-4cd7-916d-bf0ea43047c5</vt:lpwstr>
  </property>
  <property fmtid="{D5CDD505-2E9C-101B-9397-08002B2CF9AE}" pid="9" name="MSIP_Label_cd146789-9338-440e-9bc2-d4582d10ca66_ContentBits">
    <vt:lpwstr>2</vt:lpwstr>
  </property>
</Properties>
</file>